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霸州市煎茶铺镇人民政府20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bookmarkStart w:id="18" w:name="_GoBack"/>
      <w:bookmarkEnd w:id="18"/>
      <w:r>
        <w:rPr>
          <w:rFonts w:hint="eastAsia" w:ascii="仿宋_GB2312" w:hAnsi="Times New Roman" w:eastAsia="仿宋_GB2312" w:cs="Times New Roman"/>
          <w:sz w:val="32"/>
          <w:szCs w:val="32"/>
        </w:rPr>
        <w:t>按照《预算法》、《地方预决算公开操作规程》和《河北省省级预算公开办法》规定，现将霸州市煎茶铺镇人民政府20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镇党委、政府处于领导农业和农村工作的第一线，承担着建设会主义新农村的光荣使命。</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镇党委按照便于集中统一领导、便于有效开展工作要求，进一步理顺党委与政府及人民团体的职责分工，抓好党在农村各项方针政策的落实，加强基层组织和政权建设，紧紧围绕加快农业和农村经济结构战略调整，抓好“两个文明”建设，加强对乡各项工作的统一领导，充分发挥总览全局、协调各方的领导核心作用。</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 镇政府按照社会主市场经济的客观要求，加强农村社会主义民主政治和法制建设，依法行政，规范管理；加强对农村和农村工作的指导，深化农村改革，全面发展农村经济；进一步增强镇政府统一管理经济，教育、科学、文化、卫生、体育事业和财政、民政、土地、计划生育等行政工作的职能，推进农村经济和社会的全面发展，实现共同富裕。围绕这一目标，镇政府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乡镇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镇党委、镇政府工作“一盘棋”互相配合。同时，规范镇政府和村级组织的工作职能作用。</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镇党委、政府作为党在农村的基层组织和基层政权，对本地经济和社会发展负有领导责任，具有综合管理和协调的功能。进一步理顺关系，建立以块为主、条块结合的行政管理体制。涉农和为基层服务的事业单位，如农技推广、畜牧兽医、林业、水利、文化广播等，其人员和事业经费由乡进行统一管理；专业性较强的单位，如财政、司法、土地等，实行乡和市主管部门双重管理，以乡管理为主，上级业务部门实行业务领导或指导；实行省以下垂直管理的工商所、地税所和公安派出所、法庭、乡办中小学、卫生院以及设在乡的信用社、供销社、粮站（库）、电管所等企业单位，由主管部门管理，接受镇党委、政府的监督，党的关系由乡管理，主要领导干部的任免、奖惩必须征求镇党委的意见。</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乡镇事业单位的设置形式，由镇党委、镇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通过乡镇机构改革，切实减轻农民负担，让广大农民感到满意，得到实惠。</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left"/>
              <w:rPr>
                <w:rFonts w:ascii="仿宋" w:hAnsi="仿宋" w:eastAsia="仿宋" w:cs="Times New Roman"/>
              </w:rPr>
            </w:pPr>
            <w:r>
              <w:rPr>
                <w:rFonts w:hint="eastAsia" w:ascii="仿宋" w:hAnsi="仿宋" w:eastAsia="仿宋" w:cs="Times New Roman"/>
              </w:rPr>
              <w:t>霸州市煎茶铺镇人民政府</w:t>
            </w:r>
          </w:p>
        </w:tc>
        <w:tc>
          <w:tcPr>
            <w:tcW w:w="1866"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行政</w:t>
            </w:r>
          </w:p>
        </w:tc>
        <w:tc>
          <w:tcPr>
            <w:tcW w:w="1536"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正科级</w:t>
            </w:r>
          </w:p>
        </w:tc>
        <w:tc>
          <w:tcPr>
            <w:tcW w:w="264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cs="Times New Roma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反映本部门当年全部收入。2020年预算收入</w:t>
      </w:r>
      <w:r>
        <w:rPr>
          <w:rFonts w:ascii="仿宋_GB2312" w:hAnsi="Times New Roman" w:eastAsia="仿宋_GB2312" w:cs="Times New Roman"/>
          <w:sz w:val="32"/>
          <w:szCs w:val="32"/>
        </w:rPr>
        <w:t>2127.05</w:t>
      </w:r>
      <w:r>
        <w:rPr>
          <w:rFonts w:hint="eastAsia" w:ascii="仿宋_GB2312" w:hAnsi="Times New Roman" w:eastAsia="仿宋_GB2312" w:cs="Times New Roman"/>
          <w:sz w:val="32"/>
          <w:szCs w:val="32"/>
        </w:rPr>
        <w:t>万元，其中：一般公共预算收入</w:t>
      </w:r>
      <w:r>
        <w:rPr>
          <w:rFonts w:ascii="仿宋_GB2312" w:hAnsi="Times New Roman" w:eastAsia="仿宋_GB2312" w:cs="Times New Roman"/>
          <w:sz w:val="32"/>
          <w:szCs w:val="32"/>
        </w:rPr>
        <w:t>1994.01</w:t>
      </w:r>
      <w:r>
        <w:rPr>
          <w:rFonts w:hint="eastAsia" w:ascii="仿宋_GB2312" w:hAnsi="Times New Roman" w:eastAsia="仿宋_GB2312" w:cs="Times New Roman"/>
          <w:sz w:val="32"/>
          <w:szCs w:val="32"/>
        </w:rPr>
        <w:t>万元，政府性基金预算收入</w:t>
      </w:r>
      <w:r>
        <w:rPr>
          <w:rFonts w:ascii="仿宋_GB2312" w:hAnsi="Times New Roman" w:eastAsia="仿宋_GB2312" w:cs="Times New Roman"/>
          <w:sz w:val="32"/>
          <w:szCs w:val="32"/>
        </w:rPr>
        <w:t>133.04万元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收支预算总表支出栏、基本支出表、项目支出表按经济分类和支出功能分类科目编制，反映霸州市煎茶铺镇人民政府2020年度部门预算中支出预算的总体情况。2020年本部门支出预算</w:t>
      </w:r>
      <w:r>
        <w:rPr>
          <w:rFonts w:ascii="仿宋_GB2312" w:hAnsi="Times New Roman" w:eastAsia="仿宋_GB2312" w:cs="Times New Roman"/>
          <w:sz w:val="32"/>
          <w:szCs w:val="32"/>
        </w:rPr>
        <w:t>2127.05</w:t>
      </w:r>
      <w:r>
        <w:rPr>
          <w:rFonts w:hint="eastAsia" w:ascii="仿宋_GB2312" w:hAnsi="Times New Roman" w:eastAsia="仿宋_GB2312" w:cs="Times New Roman"/>
          <w:sz w:val="32"/>
          <w:szCs w:val="32"/>
        </w:rPr>
        <w:t>万元，其中：基本支出</w:t>
      </w:r>
      <w:r>
        <w:rPr>
          <w:rFonts w:ascii="仿宋_GB2312" w:hAnsi="Times New Roman" w:eastAsia="仿宋_GB2312" w:cs="Times New Roman"/>
          <w:sz w:val="32"/>
          <w:szCs w:val="32"/>
        </w:rPr>
        <w:t>1630.51</w:t>
      </w:r>
      <w:r>
        <w:rPr>
          <w:rFonts w:hint="eastAsia" w:ascii="仿宋_GB2312" w:hAnsi="Times New Roman" w:eastAsia="仿宋_GB2312" w:cs="Times New Roman"/>
          <w:sz w:val="32"/>
          <w:szCs w:val="32"/>
        </w:rPr>
        <w:t>万元，包括：人员经费</w:t>
      </w:r>
      <w:r>
        <w:rPr>
          <w:rFonts w:ascii="仿宋_GB2312" w:hAnsi="Times New Roman" w:eastAsia="仿宋_GB2312" w:cs="Times New Roman"/>
          <w:sz w:val="32"/>
          <w:szCs w:val="32"/>
        </w:rPr>
        <w:t>1470.15万元</w:t>
      </w:r>
      <w:r>
        <w:rPr>
          <w:rFonts w:hint="eastAsia" w:ascii="仿宋_GB2312" w:hAnsi="Times New Roman" w:eastAsia="仿宋_GB2312" w:cs="Times New Roman"/>
          <w:sz w:val="32"/>
          <w:szCs w:val="32"/>
        </w:rPr>
        <w:t>和日常公用经费</w:t>
      </w:r>
      <w:r>
        <w:rPr>
          <w:rFonts w:ascii="仿宋_GB2312" w:hAnsi="Times New Roman" w:eastAsia="仿宋_GB2312" w:cs="Times New Roman"/>
          <w:sz w:val="32"/>
          <w:szCs w:val="32"/>
        </w:rPr>
        <w:t>160.36万元</w:t>
      </w:r>
      <w:r>
        <w:rPr>
          <w:rFonts w:hint="eastAsia" w:ascii="仿宋_GB2312" w:hAnsi="Times New Roman" w:eastAsia="仿宋_GB2312" w:cs="Times New Roman"/>
          <w:sz w:val="32"/>
          <w:szCs w:val="32"/>
        </w:rPr>
        <w:t>；项目支出</w:t>
      </w:r>
      <w:r>
        <w:rPr>
          <w:rFonts w:ascii="仿宋_GB2312" w:hAnsi="Times New Roman" w:eastAsia="仿宋_GB2312" w:cs="Times New Roman"/>
          <w:sz w:val="32"/>
          <w:szCs w:val="32"/>
        </w:rPr>
        <w:t>496.54</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仿宋" w:eastAsia="仿宋_GB2312" w:cs="Times New Roman"/>
          <w:sz w:val="32"/>
          <w:szCs w:val="32"/>
        </w:rPr>
        <w:t>两违</w:t>
      </w:r>
      <w:r>
        <w:rPr>
          <w:rFonts w:ascii="仿宋_GB2312" w:hAnsi="仿宋" w:eastAsia="仿宋_GB2312" w:cs="Times New Roman"/>
          <w:sz w:val="32"/>
          <w:szCs w:val="32"/>
        </w:rPr>
        <w:t>拆除</w:t>
      </w:r>
      <w:r>
        <w:rPr>
          <w:rFonts w:hint="eastAsia" w:ascii="仿宋_GB2312" w:hAnsi="仿宋" w:eastAsia="仿宋_GB2312" w:cs="Times New Roman"/>
          <w:sz w:val="32"/>
          <w:szCs w:val="32"/>
        </w:rPr>
        <w:t>、村级办公费、农村人居</w:t>
      </w:r>
      <w:r>
        <w:rPr>
          <w:rFonts w:ascii="仿宋_GB2312" w:hAnsi="仿宋" w:eastAsia="仿宋_GB2312" w:cs="Times New Roman"/>
          <w:sz w:val="32"/>
          <w:szCs w:val="32"/>
        </w:rPr>
        <w:t>环境整治</w:t>
      </w:r>
      <w:r>
        <w:rPr>
          <w:rFonts w:hint="eastAsia" w:ascii="仿宋_GB2312" w:hAnsi="仿宋" w:eastAsia="仿宋_GB2312" w:cs="Times New Roman"/>
          <w:sz w:val="32"/>
          <w:szCs w:val="32"/>
        </w:rPr>
        <w:t>、文化站免费开放、河道综合</w:t>
      </w:r>
      <w:r>
        <w:rPr>
          <w:rFonts w:ascii="仿宋_GB2312" w:hAnsi="仿宋" w:eastAsia="仿宋_GB2312" w:cs="Times New Roman"/>
          <w:sz w:val="32"/>
          <w:szCs w:val="32"/>
        </w:rPr>
        <w:t>整治</w:t>
      </w:r>
      <w:r>
        <w:rPr>
          <w:rFonts w:hint="eastAsia" w:ascii="仿宋_GB2312" w:hAnsi="仿宋" w:eastAsia="仿宋_GB2312" w:cs="Times New Roman"/>
          <w:sz w:val="32"/>
          <w:szCs w:val="32"/>
        </w:rPr>
        <w:t>项目</w:t>
      </w:r>
      <w:r>
        <w:rPr>
          <w:rFonts w:hint="eastAsia" w:ascii="仿宋_GB2312" w:hAnsi="Times New Roman" w:eastAsia="仿宋_GB2312" w:cs="Times New Roman"/>
          <w:sz w:val="32"/>
          <w:szCs w:val="32"/>
        </w:rPr>
        <w:t>等；上缴上级支出0万元，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sz w:val="32"/>
          <w:szCs w:val="32"/>
        </w:rPr>
      </w:pPr>
      <w:r>
        <w:rPr>
          <w:rFonts w:hint="eastAsia" w:ascii="仿宋_GB2312" w:hAnsi="Times New Roman" w:eastAsia="仿宋_GB2312" w:cs="Times New Roman"/>
          <w:sz w:val="32"/>
          <w:szCs w:val="32"/>
        </w:rPr>
        <w:t>2020年预算收支安排</w:t>
      </w:r>
      <w:r>
        <w:rPr>
          <w:rFonts w:ascii="仿宋_GB2312" w:hAnsi="Times New Roman" w:eastAsia="仿宋_GB2312" w:cs="Times New Roman"/>
          <w:sz w:val="32"/>
          <w:szCs w:val="32"/>
        </w:rPr>
        <w:t>2127.05</w:t>
      </w:r>
      <w:r>
        <w:rPr>
          <w:rFonts w:hint="eastAsia" w:ascii="仿宋_GB2312" w:hAnsi="Times New Roman" w:eastAsia="仿宋_GB2312" w:cs="Times New Roman"/>
          <w:sz w:val="32"/>
          <w:szCs w:val="32"/>
        </w:rPr>
        <w:t>万元，较2019年预算增加</w:t>
      </w:r>
      <w:r>
        <w:rPr>
          <w:rFonts w:ascii="仿宋_GB2312" w:hAnsi="Times New Roman" w:eastAsia="仿宋_GB2312" w:cs="Times New Roman"/>
          <w:sz w:val="32"/>
          <w:szCs w:val="32"/>
        </w:rPr>
        <w:t>0.89</w:t>
      </w:r>
      <w:r>
        <w:rPr>
          <w:rFonts w:hint="eastAsia" w:ascii="仿宋_GB2312" w:hAnsi="Times New Roman" w:eastAsia="仿宋_GB2312" w:cs="Times New Roman"/>
          <w:sz w:val="32"/>
          <w:szCs w:val="32"/>
        </w:rPr>
        <w:t>万元，其中：基本支出增加</w:t>
      </w:r>
      <w:r>
        <w:rPr>
          <w:rFonts w:ascii="仿宋_GB2312" w:hAnsi="Times New Roman" w:eastAsia="仿宋_GB2312" w:cs="Times New Roman"/>
          <w:sz w:val="32"/>
          <w:szCs w:val="32"/>
        </w:rPr>
        <w:t>44.89</w:t>
      </w:r>
      <w:r>
        <w:rPr>
          <w:rFonts w:hint="eastAsia" w:ascii="仿宋_GB2312" w:hAnsi="Times New Roman" w:eastAsia="仿宋_GB2312" w:cs="Times New Roman"/>
          <w:sz w:val="32"/>
          <w:szCs w:val="32"/>
        </w:rPr>
        <w:t>万元，主要为增加</w:t>
      </w:r>
      <w:r>
        <w:rPr>
          <w:rFonts w:hint="eastAsia" w:ascii="仿宋_GB2312" w:hAnsi="仿宋" w:eastAsia="仿宋_GB2312" w:cs="Times New Roman"/>
          <w:sz w:val="32"/>
          <w:szCs w:val="32"/>
        </w:rPr>
        <w:t>人员经费支出及日常公用经费支出</w:t>
      </w:r>
      <w:r>
        <w:rPr>
          <w:rFonts w:hint="eastAsia" w:ascii="仿宋_GB2312" w:hAnsi="Times New Roman" w:eastAsia="仿宋_GB2312" w:cs="Times New Roman"/>
          <w:sz w:val="32"/>
          <w:szCs w:val="32"/>
        </w:rPr>
        <w:t>；项目支出减少</w:t>
      </w:r>
      <w:r>
        <w:rPr>
          <w:rFonts w:ascii="仿宋_GB2312" w:hAnsi="Times New Roman" w:eastAsia="仿宋_GB2312" w:cs="Times New Roman"/>
          <w:sz w:val="32"/>
          <w:szCs w:val="32"/>
        </w:rPr>
        <w:t>44</w:t>
      </w:r>
      <w:r>
        <w:rPr>
          <w:rFonts w:hint="eastAsia" w:ascii="仿宋_GB2312" w:hAnsi="Times New Roman" w:eastAsia="仿宋_GB2312" w:cs="Times New Roman"/>
          <w:sz w:val="32"/>
          <w:szCs w:val="32"/>
        </w:rPr>
        <w:t>万元，主要为减少革命老区等项目支出。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ascii="仿宋_GB2312" w:hAnsi="Times New Roman" w:eastAsia="仿宋_GB2312" w:cs="Times New Roman"/>
          <w:sz w:val="32"/>
          <w:szCs w:val="32"/>
        </w:rPr>
        <w:t xml:space="preserve">160.36 </w:t>
      </w:r>
      <w:r>
        <w:rPr>
          <w:rFonts w:hint="eastAsia" w:ascii="仿宋_GB2312" w:hAnsi="Times New Roman" w:eastAsia="仿宋_GB2312" w:cs="Times New Roman"/>
          <w:sz w:val="32"/>
          <w:szCs w:val="32"/>
        </w:rPr>
        <w:t>万元，主要用于办公区的日常维修、办公用房水电费、办公用房取暖费、办公及印刷费，邮电费、差旅费、公务接待费、培训费、工会经费、福利费、其他交通费、办公用房物业管理费、公务用车运行维护费、其他商品和服务支出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2020年，我部门“三公”经费预算安排</w:t>
      </w:r>
      <w:r>
        <w:rPr>
          <w:rFonts w:ascii="仿宋_GB2312" w:hAnsi="Times New Roman" w:eastAsia="仿宋_GB2312" w:cs="Times New Roman"/>
          <w:sz w:val="32"/>
          <w:szCs w:val="32"/>
        </w:rPr>
        <w:t>8.77</w:t>
      </w:r>
      <w:r>
        <w:rPr>
          <w:rFonts w:hint="eastAsia" w:ascii="仿宋_GB2312" w:hAnsi="Times New Roman" w:eastAsia="仿宋_GB2312" w:cs="Times New Roman"/>
          <w:sz w:val="32"/>
          <w:szCs w:val="32"/>
        </w:rPr>
        <w:t>万元，其中：因公出国（境）费0万元；公务用车购置及运维费7.5万元（其中：公务用车购置费0万元，公务用车运行维护费7.5万元)；公务接待费1.</w:t>
      </w:r>
      <w:r>
        <w:rPr>
          <w:rFonts w:ascii="仿宋_GB2312" w:hAnsi="Times New Roman" w:eastAsia="仿宋_GB2312" w:cs="Times New Roman"/>
          <w:sz w:val="32"/>
          <w:szCs w:val="32"/>
        </w:rPr>
        <w:t>27</w:t>
      </w:r>
      <w:r>
        <w:rPr>
          <w:rFonts w:hint="eastAsia" w:ascii="仿宋_GB2312" w:hAnsi="Times New Roman" w:eastAsia="仿宋_GB2312" w:cs="Times New Roman"/>
          <w:sz w:val="32"/>
          <w:szCs w:val="32"/>
        </w:rPr>
        <w:t>万元，较2019年“三公”经费减少0.09万元</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主要是因为因公出国（境）费</w:t>
      </w:r>
      <w:r>
        <w:rPr>
          <w:rFonts w:hint="eastAsia"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lang w:val="en-US" w:eastAsia="zh-CN"/>
        </w:rPr>
        <w:t>2019年持平,无增减变化;</w:t>
      </w:r>
      <w:r>
        <w:rPr>
          <w:rFonts w:hint="eastAsia" w:ascii="仿宋_GB2312" w:hAnsi="Times New Roman" w:eastAsia="仿宋_GB2312" w:cs="Times New Roman"/>
          <w:sz w:val="32"/>
          <w:szCs w:val="32"/>
        </w:rPr>
        <w:t>公务用车购置及运维费</w:t>
      </w:r>
      <w:r>
        <w:rPr>
          <w:rFonts w:hint="eastAsia"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lang w:val="en-US" w:eastAsia="zh-CN"/>
        </w:rPr>
        <w:t>2019年持平,无增减变化;</w:t>
      </w:r>
      <w:r>
        <w:rPr>
          <w:rFonts w:hint="eastAsia" w:ascii="仿宋_GB2312" w:hAnsi="Times New Roman" w:eastAsia="仿宋_GB2312" w:cs="Times New Roman"/>
          <w:sz w:val="32"/>
          <w:szCs w:val="32"/>
          <w:lang w:eastAsia="zh-CN"/>
        </w:rPr>
        <w:t>公务接待费减少</w:t>
      </w:r>
      <w:r>
        <w:rPr>
          <w:rFonts w:hint="eastAsia" w:ascii="仿宋_GB2312" w:hAnsi="Times New Roman" w:eastAsia="仿宋_GB2312" w:cs="Times New Roman"/>
          <w:sz w:val="32"/>
          <w:szCs w:val="32"/>
          <w:lang w:val="en-US" w:eastAsia="zh-CN"/>
        </w:rPr>
        <w:t>0.09万元</w:t>
      </w:r>
      <w:r>
        <w:rPr>
          <w:rFonts w:hint="eastAsia" w:ascii="仿宋_GB2312" w:hAnsi="Times New Roman" w:eastAsia="仿宋_GB2312" w:cs="Times New Roman"/>
          <w:sz w:val="32"/>
          <w:szCs w:val="32"/>
          <w:lang w:eastAsia="zh-CN"/>
        </w:rPr>
        <w:t>，主要是因为我部门严控接待费支出。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1" w:firstLineChars="200"/>
        <w:jc w:val="left"/>
        <w:outlineLvl w:val="1"/>
        <w:rPr>
          <w:rFonts w:hint="default" w:ascii="华文楷体" w:hAnsi="华文楷体" w:eastAsia="华文楷体"/>
          <w:b/>
          <w:sz w:val="32"/>
          <w:szCs w:val="32"/>
          <w:lang w:val="en-US" w:eastAsia="zh-CN"/>
        </w:rPr>
      </w:pPr>
      <w:bookmarkStart w:id="1" w:name="_Toc471398463"/>
      <w:r>
        <w:rPr>
          <w:rFonts w:hint="eastAsia" w:ascii="华文楷体" w:hAnsi="华文楷体" w:eastAsia="华文楷体"/>
          <w:b/>
          <w:sz w:val="32"/>
          <w:szCs w:val="32"/>
          <w:lang w:val="en-US" w:eastAsia="zh-CN"/>
        </w:rPr>
        <w:t>第一部分 部门整体绩效目标</w:t>
      </w:r>
    </w:p>
    <w:p>
      <w:pPr>
        <w:ind w:firstLine="640" w:firstLineChars="200"/>
        <w:jc w:val="left"/>
        <w:outlineLvl w:val="1"/>
        <w:rPr>
          <w:rFonts w:ascii="仿宋" w:hAnsi="仿宋" w:eastAsia="仿宋"/>
          <w:sz w:val="32"/>
          <w:szCs w:val="32"/>
        </w:rPr>
      </w:pPr>
      <w:r>
        <w:rPr>
          <w:rFonts w:hint="eastAsia" w:ascii="仿宋" w:hAnsi="仿宋" w:eastAsia="仿宋"/>
          <w:sz w:val="32"/>
          <w:szCs w:val="32"/>
        </w:rPr>
        <w:t>(一)总体绩效目标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2" w:name="_Toc30350003"/>
      <w:r>
        <w:rPr>
          <w:rFonts w:hint="eastAsia" w:ascii="仿宋" w:hAnsi="仿宋" w:eastAsia="仿宋"/>
          <w:sz w:val="32"/>
          <w:szCs w:val="32"/>
        </w:rPr>
        <w:instrText xml:space="preserve">总体绩效目标</w:instrText>
      </w:r>
      <w:bookmarkEnd w:id="2"/>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hint="eastAsia" w:ascii="仿宋" w:hAnsi="仿宋" w:eastAsia="仿宋"/>
          <w:sz w:val="32"/>
          <w:szCs w:val="32"/>
        </w:rPr>
      </w:pPr>
      <w:r>
        <w:rPr>
          <w:rFonts w:ascii="仿宋" w:hAnsi="仿宋" w:eastAsia="仿宋"/>
          <w:sz w:val="32"/>
          <w:szCs w:val="32"/>
        </w:rPr>
        <w:t>一是在高质量发展中实现新作为新突破。加快推进重点项目建设，加快企业转型升级。引导企业依靠先进技术、设备、管理方面进行提升 ；二是在生态环境上实现新突破。加强自然生态环境保护投入，大气、水体、土壤污染防治和林木绿化方面持续改善；三是在农村人居环境整治上实现新突破。在坑塘环境、城乡垃圾、“两违”拆除整治方面，建立健全长效机制，严厉打击各种违法违规行为；四是在保障和改善民生上实现新突破。强化扶贫解困、教育投入、持续实施文体惠民工程，加强各类基础设施建设、文化活动开展等；五是在社会治理上实现新突破。对涉众信访案件，持续开展攻坚、抓好社会治安综合治理、扫黑除恶、安全生产和食药安全等工作，特别高度关注重点领域、重点行业，切实做到隐患排查整改全覆盖、无死角；六是在党委、政府自身建设上实现新突破。规范村“两室”建设，不断提升、完善基层党建阵地配套设施，推动党建工作全覆盖，开展作风建设，强化监督执纪审查。</w:t>
      </w:r>
    </w:p>
    <w:p>
      <w:p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(二)分项绩效目标</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3" w:name="_Toc30350004"/>
      <w:r>
        <w:rPr>
          <w:rFonts w:hint="eastAsia" w:ascii="仿宋" w:hAnsi="仿宋" w:eastAsia="仿宋"/>
          <w:sz w:val="32"/>
          <w:szCs w:val="32"/>
        </w:rPr>
        <w:instrText xml:space="preserve">分项绩效目标</w:instrText>
      </w:r>
      <w:bookmarkEnd w:id="3"/>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1.巩固生态环境治理成果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继续强化大气环境大气污染防治力度，主要针对秸秆、垃圾禁烧、“散乱污”企业巡查整治等；对煎茶铺镇域内所有河道、干渠、坑塘等开展全面排查治理，加强长效机制建设，确保白洋淀流域水污染治理成果；持续开展古韵叠翠生态林木区养护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绩效指标：秸秆综合利用率应达到95%以上；较去年同期着火点数量减少2个以上；治理后河道水质指标数值情况应达到地表水五类以上水质。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2.建立健全农村人居环境整治长效机制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 重点对我镇域内相关村街侵街占道等影响农村人居环境的违建问题进行治理 ,保证拆除整改到位，消除违法状态; 加强对城乡垃圾一体化运行情况的监测管理。</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绩效指标：违章建筑、违法占地拆除面积占计划拆除面积的比率的100%；城乡垃圾清理及时率应达到100%。</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3.着力丰富基层群众文化生活</w:t>
      </w:r>
    </w:p>
    <w:p>
      <w:pPr>
        <w:spacing w:line="500" w:lineRule="exact"/>
        <w:ind w:firstLine="640" w:firstLineChars="200"/>
        <w:jc w:val="left"/>
        <w:rPr>
          <w:rFonts w:ascii="仿宋" w:hAnsi="仿宋" w:eastAsia="仿宋"/>
          <w:sz w:val="32"/>
          <w:szCs w:val="32"/>
        </w:rPr>
      </w:pPr>
      <w:r>
        <w:rPr>
          <w:rFonts w:ascii="仿宋" w:hAnsi="仿宋" w:eastAsia="仿宋"/>
          <w:sz w:val="32"/>
          <w:szCs w:val="32"/>
        </w:rPr>
        <w:t xml:space="preserve">绩效目标：以基层文化站免费开放为契机,通过举办文化惠民活动等工作,向社会公众提供并开展基本公共文化服务,满足基层人民群众的文化需求。 </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绩效指标：文化演出活动覆盖域内村街数量占域内总村街数量的比率应达到100%</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4.社会治理实现新突破</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绩效目标：持续降低信访压力，将矛盾化解在基层；加强是社会综合治理及扫黑除恶工作宣传工作；继续开展安全生产和食药安全隐患排除，强化源头管控。</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绩效指标：信访矛盾化解率应达到100%；社会综治相关政策知晓率应达到80%以上；安全生产等工作入户摸排工作开展50次以上。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5.基层党建工作迈上新台阶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绩效目标：持续强化基层党建工作，着力提升党员素质，加强基层党员、干部廉政、勤政教育，使基层党建工作迈上新台阶。</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绩效指标：全年党建学习活动开展50次以上；相关政策知晓率应达到90%。</w:t>
      </w:r>
    </w:p>
    <w:p>
      <w:pPr>
        <w:spacing w:line="500" w:lineRule="exact"/>
        <w:ind w:firstLine="640" w:firstLineChars="200"/>
        <w:jc w:val="left"/>
        <w:rPr>
          <w:rFonts w:ascii="仿宋" w:hAnsi="仿宋" w:eastAsia="仿宋"/>
          <w:sz w:val="32"/>
          <w:szCs w:val="32"/>
        </w:rPr>
      </w:pPr>
    </w:p>
    <w:p>
      <w:p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(三) 工作保障措施</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4" w:name="_Toc30350005"/>
      <w:r>
        <w:rPr>
          <w:rFonts w:hint="eastAsia" w:ascii="仿宋" w:hAnsi="仿宋" w:eastAsia="仿宋"/>
          <w:sz w:val="32"/>
          <w:szCs w:val="32"/>
        </w:rPr>
        <w:instrText xml:space="preserve">工作保障措施</w:instrText>
      </w:r>
      <w:bookmarkEnd w:id="4"/>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1.完善制度建设。制定完善预算绩效管理制度、资金管理办法、工作保障制度等，为全年预算绩效目标的实现奠定制度基础。</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2.加强支出管理。通过优化支出结构、编细编实预算、加快履行政府采购手续、尽快启动项目、及时支付资金、按规定及时拨付资金等多种措施，确保支出进度达标。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3.加强绩效运行监控。按要求开展绩效运行监控，发现问题及时采取措施，确保绩效目标如期保质实现。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5.规范财务资产管理。完善财务管理制度，严格审批程序，加强固定资产登记、使用和报废处置管理，做到支出合理，物尽其用。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加强宣传培训调研等。加强人员培训，提高本部门职工业务素质；加强调研，提出优化财政资金配置、提高资金使用效益的意见建议；加大宣传力度，强化预算绩效管理意识，促进预算绩效管理水平进一步提升。</w:t>
      </w:r>
    </w:p>
    <w:p>
      <w:pPr>
        <w:autoSpaceDE w:val="0"/>
        <w:autoSpaceDN w:val="0"/>
        <w:adjustRightInd w:val="0"/>
        <w:ind w:firstLine="640" w:firstLineChars="200"/>
        <w:jc w:val="left"/>
        <w:rPr>
          <w:rFonts w:ascii="仿宋" w:hAnsi="仿宋" w:eastAsia="仿宋"/>
          <w:sz w:val="32"/>
          <w:szCs w:val="32"/>
        </w:rPr>
      </w:pPr>
    </w:p>
    <w:p>
      <w:pPr>
        <w:numPr>
          <w:ilvl w:val="0"/>
          <w:numId w:val="1"/>
        </w:numPr>
        <w:autoSpaceDE w:val="0"/>
        <w:autoSpaceDN w:val="0"/>
        <w:adjustRightInd w:val="0"/>
        <w:ind w:firstLine="643" w:firstLineChars="200"/>
        <w:jc w:val="left"/>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预算项目</w:t>
      </w:r>
      <w:r>
        <w:rPr>
          <w:rFonts w:ascii="楷体_GB2312" w:hAnsi="Times New Roman" w:eastAsia="楷体_GB2312" w:cs="Times New Roman"/>
          <w:b/>
          <w:sz w:val="32"/>
          <w:szCs w:val="32"/>
        </w:rPr>
        <w:t>绩效目</w:t>
      </w:r>
      <w:r>
        <w:rPr>
          <w:rFonts w:hint="eastAsia" w:ascii="楷体_GB2312" w:hAnsi="Times New Roman" w:eastAsia="楷体_GB2312" w:cs="Times New Roman"/>
          <w:b/>
          <w:sz w:val="32"/>
          <w:szCs w:val="32"/>
        </w:rPr>
        <w:t>标</w:t>
      </w:r>
    </w:p>
    <w:p>
      <w:pPr>
        <w:numPr>
          <w:numId w:val="0"/>
        </w:numPr>
        <w:autoSpaceDE w:val="0"/>
        <w:autoSpaceDN w:val="0"/>
        <w:adjustRightInd w:val="0"/>
        <w:jc w:val="left"/>
        <w:rPr>
          <w:rFonts w:ascii="仿宋" w:hAnsi="仿宋" w:eastAsia="仿宋"/>
          <w:b/>
          <w:sz w:val="32"/>
          <w:szCs w:val="32"/>
        </w:rPr>
      </w:pPr>
      <w:r>
        <w:rPr>
          <w:rFonts w:hint="eastAsia" w:ascii="仿宋" w:hAnsi="仿宋" w:eastAsia="仿宋"/>
          <w:b/>
          <w:sz w:val="32"/>
          <w:szCs w:val="32"/>
        </w:rPr>
        <w:t>1、村党组织活动经费（冀财预[2019]67号)绩效目标表</w:t>
      </w:r>
    </w:p>
    <w:tbl>
      <w:tblPr>
        <w:tblStyle w:val="8"/>
        <w:tblW w:w="11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8"/>
        <w:gridCol w:w="8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8"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791"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1、该项目主要用于保障我镇辖区内共32个基层村级党组织正常运转、办公费用充足，推动农村基层组织服务能力全面提升。</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11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4"/>
        <w:gridCol w:w="1705"/>
        <w:gridCol w:w="2063"/>
        <w:gridCol w:w="3122"/>
        <w:gridCol w:w="1168"/>
        <w:gridCol w:w="1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1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705"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2063"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3122"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168"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368"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发放补助的基层村级党组织数量（个）</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发放补助的基层村级党组织数量的总数量</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32个</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补助金发放到位及时率(%)</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实际拨付的补助金金额占计划拨付金额的比率</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成本指标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补助金补贴标准(万元)</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补贴村党组织活动经费标准</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44.5万元</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补助金发放足额率</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当年基层村级党组织补助资金实际拨付占资金拨付总量的比率</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可持续影响指标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村级组织正常运转率</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年度内基层村级党组织正常运转的比率</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村级组织服务基层能力提升情况</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当年基层村级党组织服务基层能力提升情况</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有所提升</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70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206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基层村级党组织满意度</w:t>
            </w:r>
          </w:p>
        </w:tc>
        <w:tc>
          <w:tcPr>
            <w:tcW w:w="312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基层村级党组织满意数量占总数的比例。</w:t>
            </w:r>
          </w:p>
        </w:tc>
        <w:tc>
          <w:tcPr>
            <w:tcW w:w="1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3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footerReference r:id="rId3" w:type="default"/>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2、村级组织办公经费（冀财预[2019]67号）绩效目标表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5" w:name="_Toc30350007"/>
      <w:r>
        <w:rPr>
          <w:rFonts w:cs="Times New Roman" w:asciiTheme="majorEastAsia" w:hAnsiTheme="majorEastAsia" w:eastAsiaTheme="majorEastAsia"/>
          <w:b/>
          <w:sz w:val="32"/>
          <w:szCs w:val="32"/>
        </w:rPr>
        <w:instrText xml:space="preserve">2、村级组织办公经费（冀财预[2019]67号）绩效目标表</w:instrText>
      </w:r>
      <w:bookmarkEnd w:id="5"/>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1、该项目主要用于保障我镇辖区内共7个村民委员会正常运转、办公费用充足，推动农村基层组织服务能力全面提升。</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966"/>
        <w:gridCol w:w="220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96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22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7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96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发放补助的村民委员会数量（个）</w:t>
            </w:r>
          </w:p>
        </w:tc>
        <w:tc>
          <w:tcPr>
            <w:tcW w:w="22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发放补助的村民委员会的总数量</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32个</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96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补助金发放到位率(%)</w:t>
            </w:r>
          </w:p>
        </w:tc>
        <w:tc>
          <w:tcPr>
            <w:tcW w:w="22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实际拨付的补助金金额占计划拨付金额的比率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96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补助金按要求使用情况</w:t>
            </w:r>
          </w:p>
        </w:tc>
        <w:tc>
          <w:tcPr>
            <w:tcW w:w="22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按要求使用的补助资金占全部补助资金的比率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可持续影响指标</w:t>
            </w:r>
          </w:p>
        </w:tc>
        <w:tc>
          <w:tcPr>
            <w:tcW w:w="196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村级组织正常运转率</w:t>
            </w:r>
          </w:p>
        </w:tc>
        <w:tc>
          <w:tcPr>
            <w:tcW w:w="22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年度内村级组织正常运转的比率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96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村级组织服务基层能力提升情况</w:t>
            </w:r>
          </w:p>
        </w:tc>
        <w:tc>
          <w:tcPr>
            <w:tcW w:w="22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当年村级组织服务基层能力提升情况</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有所提升</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96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村民委员会满意度</w:t>
            </w:r>
          </w:p>
        </w:tc>
        <w:tc>
          <w:tcPr>
            <w:tcW w:w="22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村民委员会满意数量占总数的比例。</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3、古韵叠翠绿化片区道路及附属设施工程征地拆迁资金绩效目标表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6" w:name="_Toc30350008"/>
      <w:r>
        <w:rPr>
          <w:rFonts w:cs="Times New Roman" w:asciiTheme="majorEastAsia" w:hAnsiTheme="majorEastAsia" w:eastAsiaTheme="majorEastAsia"/>
          <w:b/>
          <w:sz w:val="32"/>
          <w:szCs w:val="32"/>
        </w:rPr>
        <w:instrText xml:space="preserve">3、古韵叠翠绿化片区道路及附属设施工程征地拆迁资金绩效目标表</w:instrText>
      </w:r>
      <w:bookmarkEnd w:id="6"/>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114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0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10361"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1、按时足额支付土地补偿款、地上附着物追加补偿款133.04万元，保障被征土地及地上物受损单位和个人的利益，保证不因赔偿问题产生司法纠纷或群体信访事件。</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115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435"/>
        <w:gridCol w:w="1465"/>
        <w:gridCol w:w="4391"/>
        <w:gridCol w:w="1064"/>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435"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465"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43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06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2028"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征地补偿面积</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实际征地补偿面积</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10.86亩</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土方补偿体积</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实际征地土方补偿体积</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10000方</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补偿拆迁树木数量</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补偿实际拆迁树木数量</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1816棵</w:t>
            </w:r>
          </w:p>
        </w:tc>
        <w:tc>
          <w:tcPr>
            <w:tcW w:w="2028" w:type="dxa"/>
            <w:shd w:val="clear" w:color="auto" w:fill="auto"/>
            <w:vAlign w:val="center"/>
          </w:tcPr>
          <w:p>
            <w:pPr>
              <w:spacing w:line="300" w:lineRule="exact"/>
              <w:jc w:val="lef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征地补偿款足额发放率</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发放的征地补偿款占按协议应付全额征地补偿款的比率</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征地补偿款发放及时率</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在约定时间内实际发放的征地补偿款占按协议应付全额征地补偿款的比率</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成本指标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土地补偿标准</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征地土地实际补偿标准</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81000元</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成本指标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土方补偿标准</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征地土方实际补偿标准</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25元</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成本指标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树木补偿标准</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树木实际补偿标准</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按相关政策文件执行</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政策标准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因征地引发的上访事件</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因征地引发的上访事件</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0件</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发放补偿款作用</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保障被征土地及地上物受损单位和个人的利益</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有力保障</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43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465"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失地农民满意度</w:t>
            </w:r>
          </w:p>
        </w:tc>
        <w:tc>
          <w:tcPr>
            <w:tcW w:w="43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调查中受益对象满意和较满意的数量占调查总人数的比率</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≥85%</w:t>
            </w:r>
          </w:p>
        </w:tc>
        <w:tc>
          <w:tcPr>
            <w:tcW w:w="202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center"/>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4、关于提前下达2020年省级“三馆一站”免费开放补助资金的通知(冀财教[2019]141号)绩效目标表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7" w:name="_Toc30350009"/>
      <w:r>
        <w:rPr>
          <w:rFonts w:cs="Times New Roman" w:asciiTheme="majorEastAsia" w:hAnsiTheme="majorEastAsia" w:eastAsiaTheme="majorEastAsia"/>
          <w:b/>
          <w:sz w:val="32"/>
          <w:szCs w:val="32"/>
        </w:rPr>
        <w:instrText xml:space="preserve">4、关于提前下达2020年省级\“三馆一站\”免费开放补助资金的通知(冀财教[2019]141号)绩效目标表</w:instrText>
      </w:r>
      <w:bookmarkEnd w:id="7"/>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11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3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s="Times New Roman"/>
                <w:b/>
                <w:sz w:val="24"/>
                <w:szCs w:val="24"/>
              </w:rPr>
            </w:pPr>
          </w:p>
        </w:tc>
        <w:tc>
          <w:tcPr>
            <w:tcW w:w="3482"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10059" w:type="dxa"/>
            <w:gridSpan w:val="2"/>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1、以基层文化站免费开放为契机,通过举办文化惠民活动等工作,向社会公众提供并开展基本公共文化服务,满足基层人民群众的文化需求，提升公共服务水平及人民群众满意度</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111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2176"/>
        <w:gridCol w:w="1991"/>
        <w:gridCol w:w="1276"/>
        <w:gridCol w:w="3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21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19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3482"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组织系列文化活动演出数量(次)</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组织开展系列文化活动次数</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≥5次</w:t>
            </w:r>
          </w:p>
        </w:tc>
        <w:tc>
          <w:tcPr>
            <w:tcW w:w="348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文化演出活动覆盖率(%)</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文化演出活动覆盖域内村街数量占域内总村街数量的比率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348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基层文化站免费开放工作对基层文化需求和公共服务水平的提升情况</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通过基层文化站免费开放工作，对基层文化需求和公共服务水平的提升的效果</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有所提升</w:t>
            </w:r>
          </w:p>
        </w:tc>
        <w:tc>
          <w:tcPr>
            <w:tcW w:w="348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可持续影响指标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免费开放文化站正常运转比率</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免费开放文化站正常运转比率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≥95%</w:t>
            </w:r>
          </w:p>
        </w:tc>
        <w:tc>
          <w:tcPr>
            <w:tcW w:w="348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群众满意度</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群众对当年文化站免费开放服务的整体满意度</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3482"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center"/>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5、关于提前下达2020年中央补助地方美术馆公共图书馆 文化馆（站）免费开放补助资金预算的通知(冀财教[2019]118号)绩效目标表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8" w:name="_Toc30350010"/>
      <w:r>
        <w:rPr>
          <w:rFonts w:cs="Times New Roman" w:asciiTheme="majorEastAsia" w:hAnsiTheme="majorEastAsia" w:eastAsiaTheme="majorEastAsia"/>
          <w:b/>
          <w:sz w:val="32"/>
          <w:szCs w:val="32"/>
        </w:rPr>
        <w:instrText xml:space="preserve">5、关于提前下达2020年中央补助地方美术馆公共图书馆</w:instrText>
      </w:r>
      <w:bookmarkEnd w:id="8"/>
      <w:r>
        <w:rPr>
          <w:rFonts w:cs="Times New Roman" w:asciiTheme="majorEastAsia" w:hAnsiTheme="majorEastAsia" w:eastAsiaTheme="majorEastAsia"/>
          <w:b/>
          <w:sz w:val="32"/>
          <w:szCs w:val="32"/>
        </w:rPr>
        <w:instrText xml:space="preserve"> 文化馆（站）免费开放补助资金预算的通知(冀财教[2019]118号)绩效目标表 \f C \l 1 </w:instrText>
      </w:r>
      <w:r>
        <w:rPr>
          <w:rFonts w:cs="Times New Roman" w:asciiTheme="majorEastAsia" w:hAnsiTheme="majorEastAsia" w:eastAsiaTheme="majorEastAsia"/>
          <w:b/>
          <w:sz w:val="32"/>
          <w:szCs w:val="32"/>
        </w:rPr>
        <w:fldChar w:fldCharType="end"/>
      </w:r>
    </w:p>
    <w:tbl>
      <w:tblPr>
        <w:tblStyle w:val="8"/>
        <w:tblW w:w="109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9780"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1、以基层文化站免费开放为契机,通过举办文化惠民活动等工作,向社会公众提供并开展基本公共文化服务,满足基层人民群众的文化需求，提升公共服务水平及人民群众满意度</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10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1261"/>
        <w:gridCol w:w="2367"/>
        <w:gridCol w:w="3157"/>
        <w:gridCol w:w="1064"/>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007"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26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2367"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3157"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06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953"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07"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26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236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组织系列文化活动演出数量(次)</w:t>
            </w:r>
          </w:p>
        </w:tc>
        <w:tc>
          <w:tcPr>
            <w:tcW w:w="315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组织开展系列文化活动次数</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≥5次</w:t>
            </w:r>
          </w:p>
        </w:tc>
        <w:tc>
          <w:tcPr>
            <w:tcW w:w="195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07"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26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236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文化演出活动覆盖率(%)</w:t>
            </w:r>
          </w:p>
        </w:tc>
        <w:tc>
          <w:tcPr>
            <w:tcW w:w="315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文化演出活动覆盖域内村街数量占域内总村街数量的比率</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95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07"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26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236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举办活动及时率</w:t>
            </w:r>
          </w:p>
        </w:tc>
        <w:tc>
          <w:tcPr>
            <w:tcW w:w="315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按照计划完成的演出活动在应完成演出活动中的比例（百分比）</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95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07"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26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236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基层文化站免费开放工作对基层文化需求和公共服务水平的提升情况</w:t>
            </w:r>
          </w:p>
        </w:tc>
        <w:tc>
          <w:tcPr>
            <w:tcW w:w="315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通过基层文化站免费开放工作，对基层文化需求和公共服务水平的提升的效果</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有所提升</w:t>
            </w:r>
          </w:p>
        </w:tc>
        <w:tc>
          <w:tcPr>
            <w:tcW w:w="195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07"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26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可持续影响指标</w:t>
            </w:r>
          </w:p>
        </w:tc>
        <w:tc>
          <w:tcPr>
            <w:tcW w:w="236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免费开放文化站正常运转比率</w:t>
            </w:r>
          </w:p>
        </w:tc>
        <w:tc>
          <w:tcPr>
            <w:tcW w:w="315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免费开放文化站正常运转比率</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≥95%</w:t>
            </w:r>
          </w:p>
        </w:tc>
        <w:tc>
          <w:tcPr>
            <w:tcW w:w="195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007"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26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236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群众满意度</w:t>
            </w:r>
          </w:p>
        </w:tc>
        <w:tc>
          <w:tcPr>
            <w:tcW w:w="3157"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群众对当年文化站免费开放服务的整体满意度</w:t>
            </w:r>
          </w:p>
        </w:tc>
        <w:tc>
          <w:tcPr>
            <w:tcW w:w="106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953"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6、河道综合整治经费绩效目标表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9" w:name="_Toc30350011"/>
      <w:r>
        <w:rPr>
          <w:rFonts w:cs="Times New Roman" w:asciiTheme="majorEastAsia" w:hAnsiTheme="majorEastAsia" w:eastAsiaTheme="majorEastAsia"/>
          <w:b/>
          <w:sz w:val="32"/>
          <w:szCs w:val="32"/>
        </w:rPr>
        <w:instrText xml:space="preserve">6、河道综合整治经费绩效目标表</w:instrText>
      </w:r>
      <w:bookmarkEnd w:id="9"/>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重点对我镇域内相关河道、干支渠道进行垃圾、漂浮物、黑臭水体等进行治理,应在汛期前完成部分或全部工程，避免对防汛工作造成影响,河道内环境于工程完成后得到部分改善,不因河道垃圾及漂浮物原因造成汛期排涝不畅情况发生</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28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7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河道综合治理工程量（m3）</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河道综合治理工程量</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≥4500m3</w:t>
            </w:r>
          </w:p>
          <w:p>
            <w:pPr>
              <w:spacing w:line="300" w:lineRule="exact"/>
              <w:jc w:val="left"/>
              <w:rPr>
                <w:rFonts w:ascii="仿宋" w:hAnsi="仿宋" w:eastAsia="仿宋" w:cs="Times New Roman"/>
                <w:sz w:val="24"/>
                <w:szCs w:val="24"/>
              </w:rPr>
            </w:pP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治理工作验收合格率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通过验收的治理工程量占治理工程总量的比率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汛期前工程完成率（%）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汛期前完成的工程量占总工程量的比率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≥70%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河道垃圾等问题造成扬水站停运次数（次）</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汛期时因河道垃圾等河道治理问题造成扬水站停运次数</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≤3次</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生态效益指标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河道水质</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河道水质指标数值情况</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≥5水质标准（五类）</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受益部门人员满意度（%）</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调查中满意和较满意的受益部门人员人数占全部调查人数的比率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7、秸秆综合利用经费绩效目标表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10" w:name="_Toc30350012"/>
      <w:r>
        <w:rPr>
          <w:rFonts w:cs="Times New Roman" w:asciiTheme="majorEastAsia" w:hAnsiTheme="majorEastAsia" w:eastAsiaTheme="majorEastAsia"/>
          <w:b/>
          <w:sz w:val="32"/>
          <w:szCs w:val="32"/>
        </w:rPr>
        <w:instrText xml:space="preserve">7、秸秆综合利用经费绩效目标表</w:instrText>
      </w:r>
      <w:bookmarkEnd w:id="10"/>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重点对“两高”、各主干道两侧及全镇适合进行秸秆综合利用土地进行该项工作,全镇进行秸秆综合利用土地，秸秆综合利用率应达到95%以上较去年同期着火点数量减少2个以上，此项工作本市乡镇排名为此较去年同期位次上升1位以上。</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28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7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秸秆综合利用作业工程量（亩）</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全年实施秸秆综合利用作业工程量</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≥9000亩</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秸秆综合利用工作验收合格率（%）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通过验收的秸秆综合利用工程量占综合利用工程总量的比率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按时完成时间</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工程完成时间</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≤10月底</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生态效益指标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实行秸秆综合利用地域着火点减少数量（个）</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实行秸秆综合利用地域着较去年同期着火点减少数量</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≥2个</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受益部门人员满意度（%）</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调查中满意和较满意的受益部门人员人数占全部调查人数的比率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受益群众满意度（%）</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调查中满意和较满意的受益群众人数占全部调查群众人数的比率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8、两违拆除经费绩效目标表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11" w:name="_Toc30350013"/>
      <w:r>
        <w:rPr>
          <w:rFonts w:cs="Times New Roman" w:asciiTheme="majorEastAsia" w:hAnsiTheme="majorEastAsia" w:eastAsiaTheme="majorEastAsia"/>
          <w:b/>
          <w:sz w:val="32"/>
          <w:szCs w:val="32"/>
        </w:rPr>
        <w:instrText xml:space="preserve">8、两违拆除经费绩效目标表</w:instrText>
      </w:r>
      <w:bookmarkEnd w:id="11"/>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1、保证违章建筑、违法占地拆除整改到位，消除违法状态，农村人居环境得到部分改善，减少因违建及违建拆除造成的信访问题，将信访矛盾化解在基层。</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28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7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两违拆除面积</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违章建筑、违法占地拆除面积</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≥6600平方米</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拆除工程验收合格率（%）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通过验收的两违拆除工程量占计划两违拆除工程总量的比率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工程整体完成时间</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工程完成并验收合格时间</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≤10月份</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两违拆除覆盖率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违章建筑、违法占地拆除面积占计划拆除面积的比率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信访次数</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因违建及违建拆除造成的信访次数</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≤3次</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群众满意度</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违建周围表示满意的居民数量占总调查居民数量的比率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9、农村人居环境整治经费绩效目标表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12" w:name="_Toc30350014"/>
      <w:r>
        <w:rPr>
          <w:rFonts w:cs="Times New Roman" w:asciiTheme="majorEastAsia" w:hAnsiTheme="majorEastAsia" w:eastAsiaTheme="majorEastAsia"/>
          <w:b/>
          <w:sz w:val="32"/>
          <w:szCs w:val="32"/>
        </w:rPr>
        <w:instrText xml:space="preserve">9、农村人居环境整治经费绩效目标表</w:instrText>
      </w:r>
      <w:bookmarkEnd w:id="12"/>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1、对村街内的积存的垃圾、三大堆垃圾的清理达到实际排查数量的90%,提高城乡村街的环境卫生状况，改善村民的生活环境。</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28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7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清理积存垃圾的数量</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清理乡域内的积存垃圾的数量</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≥13442m3</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工程合格率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处置环境垃圾工程验收合格率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项目完成时间</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垃圾处置工程完成时间</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≤10月份</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环境垃圾处置率（%）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处置环境垃圾的方数占应处理垃圾总方数的比率</w:t>
            </w:r>
          </w:p>
          <w:p>
            <w:pPr>
              <w:spacing w:line="300" w:lineRule="exact"/>
              <w:jc w:val="left"/>
              <w:rPr>
                <w:rFonts w:ascii="仿宋" w:hAnsi="仿宋" w:eastAsia="仿宋" w:cs="Times New Roman"/>
                <w:sz w:val="24"/>
                <w:szCs w:val="24"/>
              </w:rPr>
            </w:pP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群众满意度（%）</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调查中满意和较满意的群众人数占全部调查人数的比率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10、退役军人服务站标准化建设经费绩效目标表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13" w:name="_Toc30350015"/>
      <w:r>
        <w:rPr>
          <w:rFonts w:cs="Times New Roman" w:asciiTheme="majorEastAsia" w:hAnsiTheme="majorEastAsia" w:eastAsiaTheme="majorEastAsia"/>
          <w:b/>
          <w:sz w:val="32"/>
          <w:szCs w:val="32"/>
        </w:rPr>
        <w:instrText xml:space="preserve">10、退役军人服务站标准化建设经费绩效目标表</w:instrText>
      </w:r>
      <w:bookmarkEnd w:id="13"/>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8278"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1、购置必要办公设备，完成退役军人服务站标准化建设工作，保障退役军人服务站正常工作运行，提高退役军人服务站工作水平、业务水平。</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28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70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办公设备购置目标数量</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标准化建设工作完成购置的办公设备目标的数量</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7项</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购置质量合格率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购置质量合格的数量占购置总数量的比率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100百分比</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购置完成时间</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购置并验收合格时间</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≤4月份</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标准化站点正常运转率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退役军人服务站标准化建设完成，保障正常运转</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100百分比</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使用人员满意率</w:t>
            </w:r>
          </w:p>
        </w:tc>
        <w:tc>
          <w:tcPr>
            <w:tcW w:w="28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调查中使用人员满意和较满意的数量占调查总人数的比率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≥90百分比</w:t>
            </w:r>
          </w:p>
        </w:tc>
        <w:tc>
          <w:tcPr>
            <w:tcW w:w="170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11、文化站免费开放县级资金绩效目标表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14" w:name="_Toc30350016"/>
      <w:r>
        <w:rPr>
          <w:rFonts w:cs="Times New Roman" w:asciiTheme="majorEastAsia" w:hAnsiTheme="majorEastAsia" w:eastAsiaTheme="majorEastAsia"/>
          <w:b/>
          <w:sz w:val="32"/>
          <w:szCs w:val="32"/>
        </w:rPr>
        <w:instrText xml:space="preserve">11、文化站免费开放县级资金绩效目标表</w:instrText>
      </w:r>
      <w:bookmarkEnd w:id="14"/>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10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9850"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1、以基层文化站免费开放为契机,通过举办文化惠民活动等工作,向社会公众提供并开展基本公共文化服务,满足基层人民群众的文化需求，提升公共服务水平及人民群众满意度</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10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2176"/>
        <w:gridCol w:w="1991"/>
        <w:gridCol w:w="1276"/>
        <w:gridCol w:w="3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13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21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199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27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3168"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组织系列文化活动演出数量(次)</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组织开展系列文化活动次数</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≥5次</w:t>
            </w:r>
          </w:p>
        </w:tc>
        <w:tc>
          <w:tcPr>
            <w:tcW w:w="3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文化演出活动覆盖率(%)</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文化演出活动覆盖域内村街数量占域内总村街数量的比率</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3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时效指标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完成活动及时率</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按照计划完成的演出活动在应完成演出活动中的比例（百分比）</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3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基层文化站免费开放工作对基层文化需求和公共服务水平的提升情况</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通过基层文化站免费开放工作，对基层文化需求和公共服务水平的提升的效果</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有所提升</w:t>
            </w:r>
          </w:p>
        </w:tc>
        <w:tc>
          <w:tcPr>
            <w:tcW w:w="3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可持续影响指标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免费开放文化站正常运转比率</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免费开放文化站正常运转比率</w:t>
            </w:r>
          </w:p>
          <w:p>
            <w:pPr>
              <w:spacing w:line="300" w:lineRule="exact"/>
              <w:jc w:val="left"/>
              <w:rPr>
                <w:rFonts w:ascii="仿宋" w:hAnsi="仿宋" w:eastAsia="仿宋" w:cs="Times New Roman"/>
                <w:sz w:val="24"/>
                <w:szCs w:val="24"/>
              </w:rPr>
            </w:pP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≥95%</w:t>
            </w:r>
          </w:p>
        </w:tc>
        <w:tc>
          <w:tcPr>
            <w:tcW w:w="3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13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21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群众满意度</w:t>
            </w:r>
          </w:p>
        </w:tc>
        <w:tc>
          <w:tcPr>
            <w:tcW w:w="199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群众对当年文化站免费开放服务的整体满意度</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≥90%</w:t>
            </w:r>
          </w:p>
        </w:tc>
        <w:tc>
          <w:tcPr>
            <w:tcW w:w="316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ind w:firstLine="480" w:firstLineChars="200"/>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rPr>
          <w:rFonts w:ascii="仿宋" w:hAnsi="仿宋" w:eastAsia="仿宋" w:cs="Times New Roman"/>
          <w:sz w:val="24"/>
          <w:szCs w:val="24"/>
        </w:rPr>
      </w:pPr>
    </w:p>
    <w:p>
      <w:pPr>
        <w:ind w:firstLine="643" w:firstLineChars="200"/>
        <w:jc w:val="both"/>
        <w:outlineLvl w:val="1"/>
        <w:rPr>
          <w:rFonts w:cs="Times New Roman" w:asciiTheme="majorEastAsia" w:hAnsiTheme="majorEastAsia" w:eastAsiaTheme="majorEastAsia"/>
          <w:b/>
          <w:sz w:val="32"/>
          <w:szCs w:val="32"/>
        </w:rPr>
      </w:pPr>
      <w:r>
        <w:rPr>
          <w:rFonts w:cs="Times New Roman" w:asciiTheme="majorEastAsia" w:hAnsiTheme="majorEastAsia" w:eastAsiaTheme="majorEastAsia"/>
          <w:b/>
          <w:sz w:val="32"/>
          <w:szCs w:val="32"/>
        </w:rPr>
        <w:t>12、信访维稳经费绩效目标表</w:t>
      </w:r>
      <w:r>
        <w:rPr>
          <w:rFonts w:cs="Times New Roman" w:asciiTheme="majorEastAsia" w:hAnsiTheme="majorEastAsia" w:eastAsiaTheme="majorEastAsia"/>
          <w:b/>
          <w:sz w:val="32"/>
          <w:szCs w:val="32"/>
        </w:rPr>
        <w:fldChar w:fldCharType="begin"/>
      </w:r>
      <w:r>
        <w:rPr>
          <w:rFonts w:cs="Times New Roman" w:asciiTheme="majorEastAsia" w:hAnsiTheme="majorEastAsia" w:eastAsiaTheme="majorEastAsia"/>
          <w:b/>
          <w:sz w:val="32"/>
          <w:szCs w:val="32"/>
        </w:rPr>
        <w:instrText xml:space="preserve"> TC </w:instrText>
      </w:r>
      <w:bookmarkStart w:id="15" w:name="_Toc30350017"/>
      <w:r>
        <w:rPr>
          <w:rFonts w:cs="Times New Roman" w:asciiTheme="majorEastAsia" w:hAnsiTheme="majorEastAsia" w:eastAsiaTheme="majorEastAsia"/>
          <w:b/>
          <w:sz w:val="32"/>
          <w:szCs w:val="32"/>
        </w:rPr>
        <w:instrText xml:space="preserve">12、信访维稳经费绩效目标表</w:instrText>
      </w:r>
      <w:bookmarkEnd w:id="15"/>
      <w:r>
        <w:rPr>
          <w:rFonts w:cs="Times New Roman" w:asciiTheme="majorEastAsia" w:hAnsiTheme="majorEastAsia" w:eastAsiaTheme="majorEastAsia"/>
          <w:b/>
          <w:sz w:val="32"/>
          <w:szCs w:val="32"/>
        </w:rPr>
        <w:instrText xml:space="preserve"> \f C \l 1 </w:instrText>
      </w:r>
      <w:r>
        <w:rPr>
          <w:rFonts w:cs="Times New Roman" w:asciiTheme="majorEastAsia" w:hAnsiTheme="majorEastAsia" w:eastAsiaTheme="majorEastAsia"/>
          <w:b/>
          <w:sz w:val="32"/>
          <w:szCs w:val="32"/>
        </w:rPr>
        <w:fldChar w:fldCharType="end"/>
      </w:r>
    </w:p>
    <w:tbl>
      <w:tblPr>
        <w:tblStyle w:val="8"/>
        <w:tblW w:w="10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9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绩效目标</w:t>
            </w:r>
          </w:p>
        </w:tc>
        <w:tc>
          <w:tcPr>
            <w:tcW w:w="9536" w:type="dxa"/>
            <w:tcBorders>
              <w:bottom w:val="nil"/>
            </w:tcBorders>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1、通过定期开展维稳执勤工作，减少进京上访事件发生，维护乡镇社会秩序稳定和谐。</w:t>
            </w:r>
          </w:p>
        </w:tc>
      </w:tr>
    </w:tbl>
    <w:p>
      <w:pPr>
        <w:spacing w:line="14" w:lineRule="exact"/>
        <w:ind w:firstLine="480" w:firstLineChars="200"/>
        <w:jc w:val="center"/>
        <w:rPr>
          <w:rFonts w:ascii="仿宋" w:hAnsi="仿宋" w:eastAsia="仿宋" w:cs="Times New Roman"/>
          <w:sz w:val="24"/>
          <w:szCs w:val="24"/>
        </w:rPr>
      </w:pPr>
      <w:r>
        <w:rPr>
          <w:rFonts w:ascii="仿宋" w:hAnsi="仿宋" w:eastAsia="仿宋" w:cs="Times New Roman"/>
          <w:sz w:val="24"/>
          <w:szCs w:val="24"/>
        </w:rPr>
        <w:t xml:space="preserve"> </w:t>
      </w:r>
    </w:p>
    <w:tbl>
      <w:tblPr>
        <w:tblStyle w:val="8"/>
        <w:tblW w:w="10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4"/>
        <w:gridCol w:w="1294"/>
        <w:gridCol w:w="1456"/>
        <w:gridCol w:w="3298"/>
        <w:gridCol w:w="1456"/>
        <w:gridCol w:w="1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tblHeader/>
          <w:jc w:val="center"/>
        </w:trPr>
        <w:tc>
          <w:tcPr>
            <w:tcW w:w="129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一级指标</w:t>
            </w:r>
          </w:p>
        </w:tc>
        <w:tc>
          <w:tcPr>
            <w:tcW w:w="1294"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二级指标</w:t>
            </w:r>
          </w:p>
        </w:tc>
        <w:tc>
          <w:tcPr>
            <w:tcW w:w="145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三级指标</w:t>
            </w:r>
          </w:p>
        </w:tc>
        <w:tc>
          <w:tcPr>
            <w:tcW w:w="3298"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绩效指标描述</w:t>
            </w:r>
          </w:p>
        </w:tc>
        <w:tc>
          <w:tcPr>
            <w:tcW w:w="1456"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w:t>
            </w:r>
          </w:p>
        </w:tc>
        <w:tc>
          <w:tcPr>
            <w:tcW w:w="1941" w:type="dxa"/>
            <w:shd w:val="clear" w:color="auto" w:fill="auto"/>
            <w:vAlign w:val="center"/>
          </w:tcPr>
          <w:p>
            <w:pPr>
              <w:spacing w:line="300" w:lineRule="exact"/>
              <w:jc w:val="center"/>
              <w:rPr>
                <w:rFonts w:ascii="仿宋" w:hAnsi="仿宋" w:eastAsia="仿宋" w:cs="Times New Roman"/>
                <w:b/>
                <w:sz w:val="24"/>
                <w:szCs w:val="24"/>
              </w:rPr>
            </w:pPr>
            <w:r>
              <w:rPr>
                <w:rFonts w:ascii="仿宋" w:hAnsi="仿宋" w:eastAsia="仿宋" w:cs="Times New Roman"/>
                <w:b/>
                <w:sz w:val="24"/>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294" w:type="dxa"/>
            <w:vMerge w:val="restart"/>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产出指标</w:t>
            </w:r>
          </w:p>
        </w:tc>
        <w:tc>
          <w:tcPr>
            <w:tcW w:w="129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数量指标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重大安保任务完成率（%）</w:t>
            </w:r>
          </w:p>
        </w:tc>
        <w:tc>
          <w:tcPr>
            <w:tcW w:w="329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完成的安保任务占总任务总数的比率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94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29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29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质量指标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化解成功率</w:t>
            </w:r>
          </w:p>
        </w:tc>
        <w:tc>
          <w:tcPr>
            <w:tcW w:w="329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完成的信访案化解成功比率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94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1" w:hRule="atLeast"/>
          <w:jc w:val="center"/>
        </w:trPr>
        <w:tc>
          <w:tcPr>
            <w:tcW w:w="1294" w:type="dxa"/>
            <w:vMerge w:val="continue"/>
            <w:shd w:val="clear" w:color="auto" w:fill="auto"/>
            <w:vAlign w:val="center"/>
          </w:tcPr>
          <w:p>
            <w:pPr>
              <w:spacing w:line="300" w:lineRule="exact"/>
              <w:jc w:val="center"/>
              <w:rPr>
                <w:rFonts w:ascii="仿宋" w:hAnsi="仿宋" w:eastAsia="仿宋" w:cs="Times New Roman"/>
                <w:sz w:val="24"/>
                <w:szCs w:val="24"/>
              </w:rPr>
            </w:pPr>
          </w:p>
        </w:tc>
        <w:tc>
          <w:tcPr>
            <w:tcW w:w="129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成本指标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人均进京化解成本</w:t>
            </w:r>
          </w:p>
        </w:tc>
        <w:tc>
          <w:tcPr>
            <w:tcW w:w="329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每人每天进京化解信访事件成本</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≤680元</w:t>
            </w:r>
          </w:p>
        </w:tc>
        <w:tc>
          <w:tcPr>
            <w:tcW w:w="194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7" w:hRule="atLeast"/>
          <w:jc w:val="center"/>
        </w:trPr>
        <w:tc>
          <w:tcPr>
            <w:tcW w:w="129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效果指标</w:t>
            </w:r>
          </w:p>
        </w:tc>
        <w:tc>
          <w:tcPr>
            <w:tcW w:w="129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社会效益指标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涉稳舆情处置率（%）</w:t>
            </w:r>
          </w:p>
        </w:tc>
        <w:tc>
          <w:tcPr>
            <w:tcW w:w="329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处置的涉稳舆情数占涉稳舆情总数的比率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100%</w:t>
            </w:r>
          </w:p>
        </w:tc>
        <w:tc>
          <w:tcPr>
            <w:tcW w:w="194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7" w:hRule="atLeast"/>
          <w:jc w:val="center"/>
        </w:trPr>
        <w:tc>
          <w:tcPr>
            <w:tcW w:w="1294" w:type="dxa"/>
            <w:shd w:val="clear" w:color="auto" w:fill="auto"/>
            <w:vAlign w:val="center"/>
          </w:tcPr>
          <w:p>
            <w:pPr>
              <w:spacing w:line="300" w:lineRule="exact"/>
              <w:jc w:val="center"/>
              <w:rPr>
                <w:rFonts w:ascii="仿宋" w:hAnsi="仿宋" w:eastAsia="仿宋" w:cs="Times New Roman"/>
                <w:sz w:val="24"/>
                <w:szCs w:val="24"/>
              </w:rPr>
            </w:pPr>
            <w:r>
              <w:rPr>
                <w:rFonts w:ascii="仿宋" w:hAnsi="仿宋" w:eastAsia="仿宋" w:cs="Times New Roman"/>
                <w:sz w:val="24"/>
                <w:szCs w:val="24"/>
              </w:rPr>
              <w:t>满意度指标</w:t>
            </w:r>
          </w:p>
        </w:tc>
        <w:tc>
          <w:tcPr>
            <w:tcW w:w="1294"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服务对象满意度指标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服务对象满意度</w:t>
            </w:r>
          </w:p>
        </w:tc>
        <w:tc>
          <w:tcPr>
            <w:tcW w:w="3298"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满意和较满意的上访群众占被调查上访群众的比率</w:t>
            </w:r>
          </w:p>
        </w:tc>
        <w:tc>
          <w:tcPr>
            <w:tcW w:w="145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≥70%</w:t>
            </w:r>
          </w:p>
        </w:tc>
        <w:tc>
          <w:tcPr>
            <w:tcW w:w="1941"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计划标准</w:t>
            </w:r>
          </w:p>
        </w:tc>
      </w:tr>
    </w:tbl>
    <w:p>
      <w:pPr>
        <w:spacing w:line="300" w:lineRule="exact"/>
        <w:jc w:val="left"/>
        <w:rPr>
          <w:rFonts w:ascii="仿宋" w:hAnsi="仿宋" w:eastAsia="仿宋" w:cs="Times New Roman"/>
          <w:sz w:val="24"/>
          <w:szCs w:val="24"/>
        </w:rPr>
        <w:sectPr>
          <w:pgSz w:w="16839" w:h="11907" w:orient="landscape"/>
          <w:pgMar w:top="1304" w:right="1984" w:bottom="1304" w:left="1134" w:header="851" w:footer="992" w:gutter="0"/>
          <w:cols w:space="425" w:num="1"/>
          <w:docGrid w:type="lines" w:linePitch="312" w:charSpace="0"/>
        </w:sectPr>
      </w:pPr>
    </w:p>
    <w:bookmarkEnd w:id="1"/>
    <w:p>
      <w:pPr>
        <w:jc w:val="left"/>
        <w:outlineLvl w:val="0"/>
        <w:rPr>
          <w:rFonts w:hint="eastAsia" w:ascii="楷体_GB2312" w:hAnsi="Times New Roman" w:eastAsia="楷体_GB2312" w:cs="Times New Roman"/>
          <w:b/>
          <w:sz w:val="32"/>
          <w:szCs w:val="24"/>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16" w:name="_Toc471398468"/>
      <w:r>
        <w:rPr>
          <w:rFonts w:hint="eastAsia" w:ascii="仿宋_GB2312" w:hAnsi="Times New Roman" w:eastAsia="仿宋_GB2312" w:cs="Times New Roman"/>
          <w:sz w:val="32"/>
          <w:szCs w:val="32"/>
        </w:rPr>
        <w:t>2020年，我部门安排政府采购预算</w:t>
      </w:r>
      <w:r>
        <w:rPr>
          <w:rFonts w:ascii="仿宋_GB2312" w:hAnsi="Times New Roman" w:eastAsia="仿宋_GB2312" w:cs="Times New Roman"/>
          <w:sz w:val="32"/>
          <w:szCs w:val="32"/>
        </w:rPr>
        <w:t>200.50</w:t>
      </w:r>
      <w:r>
        <w:rPr>
          <w:rFonts w:hint="eastAsia" w:ascii="仿宋_GB2312" w:hAnsi="Times New Roman" w:eastAsia="仿宋_GB2312" w:cs="Times New Roman"/>
          <w:sz w:val="32"/>
          <w:szCs w:val="32"/>
        </w:rPr>
        <w:t>万元。具体内容见下表。</w:t>
      </w:r>
    </w:p>
    <w:p>
      <w:pPr>
        <w:ind w:firstLine="640" w:firstLineChars="200"/>
        <w:rPr>
          <w:rFonts w:ascii="仿宋_GB2312" w:hAnsi="Times New Roman" w:eastAsia="仿宋_GB2312" w:cs="Times New Roman"/>
          <w:color w:val="FF0000"/>
          <w:sz w:val="32"/>
          <w:szCs w:val="32"/>
        </w:rPr>
      </w:pPr>
    </w:p>
    <w:bookmarkEnd w:id="16"/>
    <w:p>
      <w:pPr>
        <w:jc w:val="center"/>
        <w:outlineLvl w:val="0"/>
        <w:rPr>
          <w:rFonts w:ascii="方正小标宋_GBK" w:eastAsia="方正小标宋_GBK"/>
          <w:sz w:val="32"/>
        </w:rPr>
      </w:pPr>
      <w:bookmarkStart w:id="17" w:name="_Toc1037185"/>
      <w:r>
        <w:rPr>
          <w:rFonts w:hint="eastAsia" w:ascii="方正小标宋_GBK" w:eastAsia="方正小标宋_GBK"/>
          <w:sz w:val="32"/>
        </w:rPr>
        <w:t>部门政府采购预算</w:t>
      </w:r>
      <w:bookmarkEnd w:id="17"/>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80"/>
        <w:gridCol w:w="1562"/>
        <w:gridCol w:w="1100"/>
        <w:gridCol w:w="1171"/>
        <w:gridCol w:w="1179"/>
        <w:gridCol w:w="1165"/>
        <w:gridCol w:w="1165"/>
        <w:gridCol w:w="1165"/>
        <w:gridCol w:w="1165"/>
        <w:gridCol w:w="1165"/>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37" w:type="pct"/>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957霸州市煎茶铺镇</w:t>
            </w:r>
          </w:p>
        </w:tc>
        <w:tc>
          <w:tcPr>
            <w:tcW w:w="2463"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55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项目承担单位</w:t>
            </w:r>
          </w:p>
        </w:tc>
        <w:tc>
          <w:tcPr>
            <w:tcW w:w="38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功能分类科目编码</w:t>
            </w:r>
          </w:p>
        </w:tc>
        <w:tc>
          <w:tcPr>
            <w:tcW w:w="829"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项目类型</w:t>
            </w:r>
          </w:p>
        </w:tc>
        <w:tc>
          <w:tcPr>
            <w:tcW w:w="2463" w:type="pct"/>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69" w:type="pct"/>
            <w:vMerge w:val="continue"/>
            <w:shd w:val="clear" w:color="auto" w:fill="auto"/>
            <w:vAlign w:val="center"/>
          </w:tcPr>
          <w:p>
            <w:pPr>
              <w:spacing w:line="300" w:lineRule="exact"/>
              <w:jc w:val="left"/>
              <w:outlineLvl w:val="0"/>
              <w:rPr>
                <w:rFonts w:eastAsia="方正仿宋_GBK"/>
                <w:sz w:val="28"/>
              </w:rPr>
            </w:pPr>
          </w:p>
        </w:tc>
        <w:tc>
          <w:tcPr>
            <w:tcW w:w="551" w:type="pct"/>
            <w:vMerge w:val="continue"/>
            <w:shd w:val="clear" w:color="auto" w:fill="auto"/>
            <w:vAlign w:val="center"/>
          </w:tcPr>
          <w:p>
            <w:pPr>
              <w:spacing w:line="300" w:lineRule="exact"/>
              <w:jc w:val="left"/>
              <w:outlineLvl w:val="0"/>
              <w:rPr>
                <w:rFonts w:eastAsia="方正仿宋_GBK"/>
                <w:sz w:val="28"/>
              </w:rPr>
            </w:pPr>
          </w:p>
        </w:tc>
        <w:tc>
          <w:tcPr>
            <w:tcW w:w="388" w:type="pct"/>
            <w:vMerge w:val="continue"/>
            <w:shd w:val="clear" w:color="auto" w:fill="auto"/>
            <w:vAlign w:val="center"/>
          </w:tcPr>
          <w:p>
            <w:pPr>
              <w:spacing w:line="300" w:lineRule="exact"/>
              <w:jc w:val="left"/>
              <w:outlineLvl w:val="0"/>
              <w:rPr>
                <w:rFonts w:eastAsia="方正仿宋_GBK"/>
                <w:sz w:val="28"/>
              </w:rPr>
            </w:pPr>
          </w:p>
        </w:tc>
        <w:tc>
          <w:tcPr>
            <w:tcW w:w="41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大类</w:t>
            </w:r>
          </w:p>
        </w:tc>
        <w:tc>
          <w:tcPr>
            <w:tcW w:w="41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小类</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41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40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w:t>
            </w:r>
            <w:r>
              <w:rPr>
                <w:rFonts w:ascii="方正书宋_GBK" w:eastAsia="方正书宋_GBK"/>
                <w:b/>
              </w:rPr>
              <w:t xml:space="preserve"> </w:t>
            </w:r>
            <w:r>
              <w:rPr>
                <w:rFonts w:hint="eastAsia" w:ascii="方正书宋_GBK" w:eastAsia="方正书宋_GBK"/>
                <w:b/>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center"/>
              <w:rPr>
                <w:rFonts w:ascii="方正书宋_GBK" w:eastAsia="方正书宋_GBK"/>
                <w:b/>
              </w:rPr>
            </w:pPr>
            <w:r>
              <w:rPr>
                <w:rFonts w:hint="eastAsia" w:ascii="方正书宋_GBK" w:eastAsia="方正书宋_GBK"/>
                <w:b/>
              </w:rPr>
              <w:t>合计</w:t>
            </w:r>
          </w:p>
        </w:tc>
        <w:tc>
          <w:tcPr>
            <w:tcW w:w="551" w:type="pct"/>
            <w:shd w:val="clear" w:color="auto" w:fill="auto"/>
            <w:vAlign w:val="center"/>
          </w:tcPr>
          <w:p>
            <w:pPr>
              <w:spacing w:line="300" w:lineRule="exact"/>
              <w:jc w:val="right"/>
              <w:rPr>
                <w:rFonts w:ascii="方正书宋_GBK" w:eastAsia="方正书宋_GBK"/>
                <w:b/>
              </w:rPr>
            </w:pPr>
          </w:p>
        </w:tc>
        <w:tc>
          <w:tcPr>
            <w:tcW w:w="388" w:type="pct"/>
            <w:shd w:val="clear" w:color="auto" w:fill="auto"/>
            <w:vAlign w:val="center"/>
          </w:tcPr>
          <w:p>
            <w:pPr>
              <w:spacing w:line="300" w:lineRule="exact"/>
              <w:jc w:val="right"/>
              <w:rPr>
                <w:rFonts w:ascii="方正书宋_GBK" w:eastAsia="方正书宋_GBK"/>
                <w:b/>
              </w:rPr>
            </w:pPr>
          </w:p>
        </w:tc>
        <w:tc>
          <w:tcPr>
            <w:tcW w:w="413" w:type="pct"/>
            <w:shd w:val="clear" w:color="auto" w:fill="auto"/>
            <w:vAlign w:val="center"/>
          </w:tcPr>
          <w:p>
            <w:pPr>
              <w:spacing w:line="300" w:lineRule="exact"/>
              <w:jc w:val="right"/>
              <w:rPr>
                <w:rFonts w:ascii="方正书宋_GBK" w:eastAsia="方正书宋_GBK"/>
                <w:b/>
              </w:rPr>
            </w:pPr>
          </w:p>
        </w:tc>
        <w:tc>
          <w:tcPr>
            <w:tcW w:w="416" w:type="pct"/>
            <w:shd w:val="clear" w:color="auto" w:fill="auto"/>
            <w:vAlign w:val="center"/>
          </w:tcPr>
          <w:p>
            <w:pPr>
              <w:spacing w:line="300" w:lineRule="exact"/>
              <w:jc w:val="right"/>
              <w:rPr>
                <w:rFonts w:ascii="方正书宋_GBK" w:eastAsia="方正书宋_GBK"/>
                <w:b/>
              </w:rPr>
            </w:pPr>
          </w:p>
        </w:tc>
        <w:tc>
          <w:tcPr>
            <w:tcW w:w="411" w:type="pct"/>
            <w:shd w:val="clear" w:color="auto" w:fill="auto"/>
            <w:vAlign w:val="center"/>
          </w:tcPr>
          <w:p>
            <w:pPr>
              <w:spacing w:line="300" w:lineRule="exact"/>
              <w:jc w:val="right"/>
              <w:rPr>
                <w:rFonts w:ascii="方正书宋_GBK" w:eastAsia="方正书宋_GBK"/>
                <w:b/>
              </w:rPr>
            </w:pPr>
            <w:r>
              <w:rPr>
                <w:rFonts w:ascii="方正书宋_GBK" w:eastAsia="方正书宋_GBK"/>
                <w:b/>
              </w:rPr>
              <w:t>200.50</w:t>
            </w:r>
          </w:p>
        </w:tc>
        <w:tc>
          <w:tcPr>
            <w:tcW w:w="411" w:type="pct"/>
            <w:shd w:val="clear" w:color="auto" w:fill="auto"/>
            <w:vAlign w:val="center"/>
          </w:tcPr>
          <w:p>
            <w:pPr>
              <w:spacing w:line="300" w:lineRule="exact"/>
              <w:jc w:val="right"/>
              <w:rPr>
                <w:rFonts w:ascii="方正书宋_GBK" w:eastAsia="方正书宋_GBK"/>
                <w:b/>
              </w:rPr>
            </w:pPr>
            <w:r>
              <w:rPr>
                <w:rFonts w:ascii="方正书宋_GBK" w:eastAsia="方正书宋_GBK"/>
                <w:b/>
              </w:rPr>
              <w:t>200.50</w:t>
            </w:r>
          </w:p>
        </w:tc>
        <w:tc>
          <w:tcPr>
            <w:tcW w:w="411" w:type="pct"/>
            <w:shd w:val="clear" w:color="auto" w:fill="auto"/>
            <w:vAlign w:val="center"/>
          </w:tcPr>
          <w:p>
            <w:pPr>
              <w:spacing w:line="300" w:lineRule="exact"/>
              <w:jc w:val="right"/>
              <w:rPr>
                <w:rFonts w:ascii="方正书宋_GBK" w:eastAsia="方正书宋_GBK"/>
                <w:b/>
              </w:rPr>
            </w:pPr>
          </w:p>
        </w:tc>
        <w:tc>
          <w:tcPr>
            <w:tcW w:w="411" w:type="pct"/>
            <w:shd w:val="clear" w:color="auto" w:fill="auto"/>
            <w:vAlign w:val="center"/>
          </w:tcPr>
          <w:p>
            <w:pPr>
              <w:spacing w:line="300" w:lineRule="exact"/>
              <w:jc w:val="right"/>
              <w:rPr>
                <w:rFonts w:ascii="方正书宋_GBK" w:eastAsia="方正书宋_GBK"/>
                <w:b/>
              </w:rPr>
            </w:pPr>
          </w:p>
        </w:tc>
        <w:tc>
          <w:tcPr>
            <w:tcW w:w="411" w:type="pct"/>
            <w:shd w:val="clear" w:color="auto" w:fill="auto"/>
            <w:vAlign w:val="center"/>
          </w:tcPr>
          <w:p>
            <w:pPr>
              <w:spacing w:line="300" w:lineRule="exact"/>
              <w:jc w:val="right"/>
              <w:rPr>
                <w:rFonts w:ascii="方正书宋_GBK" w:eastAsia="方正书宋_GBK"/>
                <w:b/>
              </w:rPr>
            </w:pPr>
          </w:p>
        </w:tc>
        <w:tc>
          <w:tcPr>
            <w:tcW w:w="408"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年中央补助地方美术馆公共图书馆</w:t>
            </w:r>
            <w:r>
              <w:rPr>
                <w:rFonts w:ascii="方正书宋_GBK" w:eastAsia="方正书宋_GBK"/>
              </w:rPr>
              <w:t xml:space="preserve"> </w:t>
            </w:r>
            <w:r>
              <w:rPr>
                <w:rFonts w:hint="eastAsia" w:ascii="方正书宋_GBK" w:eastAsia="方正书宋_GBK"/>
              </w:rPr>
              <w:t>文化馆（站）免费开放补助资金预算的通知</w:t>
            </w:r>
            <w:r>
              <w:rPr>
                <w:rFonts w:ascii="方正书宋_GBK" w:eastAsia="方正书宋_GBK"/>
              </w:rPr>
              <w:t>(</w:t>
            </w:r>
            <w:r>
              <w:rPr>
                <w:rFonts w:hint="eastAsia" w:ascii="方正书宋_GBK" w:eastAsia="方正书宋_GBK"/>
              </w:rPr>
              <w:t>冀财教</w:t>
            </w:r>
            <w:r>
              <w:rPr>
                <w:rFonts w:ascii="方正书宋_GBK" w:eastAsia="方正书宋_GBK"/>
              </w:rPr>
              <w:t>[2019]118</w:t>
            </w:r>
            <w:r>
              <w:rPr>
                <w:rFonts w:hint="eastAsia" w:ascii="方正书宋_GBK" w:eastAsia="方正书宋_GBK"/>
              </w:rPr>
              <w:t>号</w:t>
            </w:r>
            <w:r>
              <w:rPr>
                <w:rFonts w:ascii="方正书宋_GBK" w:eastAsia="方正书宋_GBK"/>
              </w:rPr>
              <w:t>)</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2079999</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河道综合整治经费</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2110302</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秸秆综合利用经费</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2110402</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两违拆除经费</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2120104</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98.00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98.00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农村人居环境整治经费</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2120501</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61.00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61.00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69" w:type="pct"/>
            <w:shd w:val="clear" w:color="auto" w:fill="auto"/>
            <w:vAlign w:val="center"/>
          </w:tcPr>
          <w:p>
            <w:pPr>
              <w:wordWrap w:val="0"/>
              <w:spacing w:line="300" w:lineRule="exact"/>
              <w:jc w:val="left"/>
              <w:rPr>
                <w:rFonts w:ascii="方正书宋_GBK" w:eastAsia="方正书宋_GBK"/>
              </w:rPr>
            </w:pPr>
            <w:r>
              <w:rPr>
                <w:rFonts w:hint="eastAsia" w:ascii="方正书宋_GBK" w:eastAsia="方正书宋_GBK"/>
              </w:rPr>
              <w:t>退役军人服务站标准化建设经费</w:t>
            </w:r>
          </w:p>
        </w:tc>
        <w:tc>
          <w:tcPr>
            <w:tcW w:w="55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霸州市煎茶铺镇人民政府</w:t>
            </w:r>
          </w:p>
        </w:tc>
        <w:tc>
          <w:tcPr>
            <w:tcW w:w="388" w:type="pct"/>
            <w:shd w:val="clear" w:color="auto" w:fill="auto"/>
            <w:vAlign w:val="center"/>
          </w:tcPr>
          <w:p>
            <w:pPr>
              <w:spacing w:line="300" w:lineRule="exact"/>
              <w:jc w:val="left"/>
              <w:rPr>
                <w:rFonts w:ascii="方正书宋_GBK" w:eastAsia="方正书宋_GBK"/>
              </w:rPr>
            </w:pPr>
            <w:r>
              <w:rPr>
                <w:rFonts w:ascii="方正书宋_GBK" w:eastAsia="方正书宋_GBK"/>
              </w:rPr>
              <w:t>2082802</w:t>
            </w:r>
          </w:p>
        </w:tc>
        <w:tc>
          <w:tcPr>
            <w:tcW w:w="41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专项业务</w:t>
            </w:r>
          </w:p>
        </w:tc>
        <w:tc>
          <w:tcPr>
            <w:tcW w:w="41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专项事务</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11"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11" w:type="pct"/>
            <w:shd w:val="clear" w:color="auto" w:fill="auto"/>
            <w:vAlign w:val="center"/>
          </w:tcPr>
          <w:p>
            <w:pPr>
              <w:spacing w:line="300" w:lineRule="exact"/>
              <w:jc w:val="right"/>
              <w:rPr>
                <w:rFonts w:ascii="方正书宋_GBK" w:eastAsia="方正书宋_GBK"/>
              </w:rPr>
            </w:pPr>
          </w:p>
        </w:tc>
        <w:tc>
          <w:tcPr>
            <w:tcW w:w="408" w:type="pct"/>
            <w:shd w:val="clear" w:color="auto" w:fill="auto"/>
            <w:vAlign w:val="center"/>
          </w:tcPr>
          <w:p>
            <w:pPr>
              <w:spacing w:line="300" w:lineRule="exact"/>
              <w:jc w:val="right"/>
              <w:rPr>
                <w:rFonts w:ascii="方正书宋_GBK" w:eastAsia="方正书宋_GBK"/>
              </w:rPr>
            </w:pPr>
          </w:p>
        </w:tc>
      </w:tr>
    </w:tbl>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sz w:val="32"/>
          <w:szCs w:val="32"/>
        </w:rPr>
      </w:pPr>
      <w:r>
        <w:rPr>
          <w:rFonts w:hint="eastAsia" w:ascii="仿宋_GB2312" w:hAnsi="黑体" w:eastAsia="仿宋_GB2312" w:cs="Times New Roman"/>
          <w:sz w:val="32"/>
          <w:szCs w:val="32"/>
        </w:rPr>
        <w:t>霸州市煎茶铺镇人民政府上年末固定资产金额为</w:t>
      </w:r>
      <w:r>
        <w:rPr>
          <w:rFonts w:ascii="仿宋_GB2312" w:hAnsi="黑体" w:eastAsia="仿宋_GB2312" w:cs="Times New Roman"/>
          <w:sz w:val="32"/>
          <w:szCs w:val="32"/>
        </w:rPr>
        <w:t>285.42</w:t>
      </w:r>
      <w:r>
        <w:rPr>
          <w:rFonts w:hint="eastAsia" w:ascii="仿宋_GB2312" w:hAnsi="黑体" w:eastAsia="仿宋_GB2312" w:cs="Times New Roman"/>
          <w:sz w:val="32"/>
          <w:szCs w:val="32"/>
        </w:rPr>
        <w:t>万元（详见下表）。本年度我</w:t>
      </w:r>
      <w:r>
        <w:rPr>
          <w:rFonts w:ascii="仿宋_GB2312" w:hAnsi="黑体" w:eastAsia="仿宋_GB2312" w:cs="Times New Roman"/>
          <w:sz w:val="32"/>
          <w:szCs w:val="32"/>
        </w:rPr>
        <w:t>部门无新增</w:t>
      </w:r>
      <w:r>
        <w:rPr>
          <w:rFonts w:hint="eastAsia" w:ascii="仿宋_GB2312" w:hAnsi="黑体" w:eastAsia="仿宋_GB2312" w:cs="Times New Roman"/>
          <w:sz w:val="32"/>
          <w:szCs w:val="32"/>
        </w:rPr>
        <w:t>固定</w:t>
      </w:r>
      <w:r>
        <w:rPr>
          <w:rFonts w:ascii="仿宋_GB2312" w:hAnsi="黑体" w:eastAsia="仿宋_GB2312" w:cs="Times New Roman"/>
          <w:sz w:val="32"/>
          <w:szCs w:val="32"/>
        </w:rPr>
        <w:t>资产计划</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霸州市煎茶铺镇部门固定资产占用情况表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方正书宋_GBK" w:hAnsi="宋体" w:eastAsia="方正书宋_GBK" w:cs="宋体"/>
                <w:b/>
                <w:kern w:val="0"/>
                <w:sz w:val="18"/>
                <w:szCs w:val="18"/>
              </w:rPr>
            </w:pPr>
            <w:r>
              <w:rPr>
                <w:rFonts w:hint="eastAsia" w:ascii="方正书宋_GBK" w:hAnsi="宋体" w:eastAsia="方正书宋_GBK" w:cs="宋体"/>
                <w:b/>
                <w:kern w:val="0"/>
                <w:sz w:val="18"/>
                <w:szCs w:val="18"/>
              </w:rPr>
              <w:t>957霸州市煎茶铺镇</w:t>
            </w:r>
          </w:p>
        </w:tc>
        <w:tc>
          <w:tcPr>
            <w:tcW w:w="5103" w:type="dxa"/>
            <w:tcBorders>
              <w:top w:val="nil"/>
              <w:left w:val="nil"/>
              <w:bottom w:val="nil"/>
              <w:right w:val="nil"/>
            </w:tcBorders>
            <w:shd w:val="clear" w:color="auto" w:fill="auto"/>
            <w:noWrap/>
            <w:vAlign w:val="center"/>
          </w:tcPr>
          <w:p>
            <w:pPr>
              <w:widowControl/>
              <w:ind w:firstLine="1355" w:firstLineChars="750"/>
              <w:jc w:val="left"/>
              <w:rPr>
                <w:rFonts w:ascii="方正书宋_GBK" w:hAnsi="宋体" w:eastAsia="方正书宋_GBK" w:cs="宋体"/>
                <w:b/>
                <w:kern w:val="0"/>
                <w:sz w:val="18"/>
                <w:szCs w:val="18"/>
              </w:rPr>
            </w:pPr>
            <w:r>
              <w:rPr>
                <w:rFonts w:hint="eastAsia" w:ascii="方正书宋_GBK" w:hAnsi="宋体" w:eastAsia="方正书宋_GBK" w:cs="宋体"/>
                <w:b/>
                <w:kern w:val="0"/>
                <w:sz w:val="18"/>
                <w:szCs w:val="18"/>
              </w:rPr>
              <w:t xml:space="preserve">截止时间：2019年12月31日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285.42</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15640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140.40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15640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140.40</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52.88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kern w:val="0"/>
                <w:szCs w:val="21"/>
              </w:rPr>
            </w:pPr>
            <w:r>
              <w:rPr>
                <w:rFonts w:ascii="方正书宋_GBK" w:hAnsi="宋体" w:eastAsia="方正书宋_GBK" w:cs="宋体"/>
                <w:kern w:val="0"/>
                <w:szCs w:val="21"/>
              </w:rPr>
              <w:t>92.14</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4"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33</w:t>
    </w:r>
    <w:r>
      <w:rPr>
        <w:rStyle w:val="10"/>
      </w:rPr>
      <w:fldChar w:fldCharType="end"/>
    </w:r>
  </w:p>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36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867FD"/>
    <w:multiLevelType w:val="singleLevel"/>
    <w:tmpl w:val="904867FD"/>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009C0"/>
    <w:rsid w:val="0000145B"/>
    <w:rsid w:val="000027F2"/>
    <w:rsid w:val="000113F8"/>
    <w:rsid w:val="00012028"/>
    <w:rsid w:val="000130DD"/>
    <w:rsid w:val="0001689E"/>
    <w:rsid w:val="000218E9"/>
    <w:rsid w:val="000225AD"/>
    <w:rsid w:val="00023314"/>
    <w:rsid w:val="0003121A"/>
    <w:rsid w:val="0003472C"/>
    <w:rsid w:val="00037AF6"/>
    <w:rsid w:val="00044DC9"/>
    <w:rsid w:val="00045A61"/>
    <w:rsid w:val="00054879"/>
    <w:rsid w:val="00055D09"/>
    <w:rsid w:val="0006250F"/>
    <w:rsid w:val="000643A0"/>
    <w:rsid w:val="00067117"/>
    <w:rsid w:val="00075D5F"/>
    <w:rsid w:val="000806AF"/>
    <w:rsid w:val="00083592"/>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CFB"/>
    <w:rsid w:val="00111EFF"/>
    <w:rsid w:val="001132BF"/>
    <w:rsid w:val="001174B3"/>
    <w:rsid w:val="00122CA5"/>
    <w:rsid w:val="001245BB"/>
    <w:rsid w:val="00126262"/>
    <w:rsid w:val="00126FFB"/>
    <w:rsid w:val="00134EC6"/>
    <w:rsid w:val="001353FD"/>
    <w:rsid w:val="001433DA"/>
    <w:rsid w:val="00152A3B"/>
    <w:rsid w:val="0015579B"/>
    <w:rsid w:val="00156150"/>
    <w:rsid w:val="001574A5"/>
    <w:rsid w:val="0016214E"/>
    <w:rsid w:val="00162841"/>
    <w:rsid w:val="00165677"/>
    <w:rsid w:val="00170039"/>
    <w:rsid w:val="00182438"/>
    <w:rsid w:val="0018305D"/>
    <w:rsid w:val="0018479D"/>
    <w:rsid w:val="00184A96"/>
    <w:rsid w:val="001901C9"/>
    <w:rsid w:val="00194FDE"/>
    <w:rsid w:val="001962EB"/>
    <w:rsid w:val="001A210E"/>
    <w:rsid w:val="001A69C1"/>
    <w:rsid w:val="001C0A14"/>
    <w:rsid w:val="001C1C6C"/>
    <w:rsid w:val="001D53B8"/>
    <w:rsid w:val="001D7844"/>
    <w:rsid w:val="001E124C"/>
    <w:rsid w:val="001E5626"/>
    <w:rsid w:val="001E61DC"/>
    <w:rsid w:val="001E6E68"/>
    <w:rsid w:val="00204C18"/>
    <w:rsid w:val="00224AB9"/>
    <w:rsid w:val="00225DD0"/>
    <w:rsid w:val="00226AF2"/>
    <w:rsid w:val="00234F7A"/>
    <w:rsid w:val="00236A9E"/>
    <w:rsid w:val="00241FD4"/>
    <w:rsid w:val="00247E02"/>
    <w:rsid w:val="00250623"/>
    <w:rsid w:val="00251B12"/>
    <w:rsid w:val="002543BE"/>
    <w:rsid w:val="00260DBD"/>
    <w:rsid w:val="00263C11"/>
    <w:rsid w:val="002645FB"/>
    <w:rsid w:val="00265944"/>
    <w:rsid w:val="00277483"/>
    <w:rsid w:val="00287688"/>
    <w:rsid w:val="00290B1B"/>
    <w:rsid w:val="002935FC"/>
    <w:rsid w:val="00296113"/>
    <w:rsid w:val="00296AE7"/>
    <w:rsid w:val="002A215D"/>
    <w:rsid w:val="002B41F7"/>
    <w:rsid w:val="002B6ADE"/>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558BB"/>
    <w:rsid w:val="0036269C"/>
    <w:rsid w:val="00382C33"/>
    <w:rsid w:val="00393587"/>
    <w:rsid w:val="00394C32"/>
    <w:rsid w:val="003A05EE"/>
    <w:rsid w:val="003A5AF8"/>
    <w:rsid w:val="003A6E7C"/>
    <w:rsid w:val="003B1DC1"/>
    <w:rsid w:val="003C0810"/>
    <w:rsid w:val="003C37E2"/>
    <w:rsid w:val="003C3A51"/>
    <w:rsid w:val="003C7707"/>
    <w:rsid w:val="003D15A4"/>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9B5"/>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49B"/>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512EC"/>
    <w:rsid w:val="00570878"/>
    <w:rsid w:val="00573562"/>
    <w:rsid w:val="005750B9"/>
    <w:rsid w:val="005848A9"/>
    <w:rsid w:val="00590472"/>
    <w:rsid w:val="00590E1C"/>
    <w:rsid w:val="005B343C"/>
    <w:rsid w:val="005B5208"/>
    <w:rsid w:val="005B7E89"/>
    <w:rsid w:val="005C0AF2"/>
    <w:rsid w:val="005C7894"/>
    <w:rsid w:val="005D02D2"/>
    <w:rsid w:val="005D0C18"/>
    <w:rsid w:val="005D24A7"/>
    <w:rsid w:val="005D2D04"/>
    <w:rsid w:val="005D5BCD"/>
    <w:rsid w:val="005D77B1"/>
    <w:rsid w:val="005E234C"/>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86270"/>
    <w:rsid w:val="00793642"/>
    <w:rsid w:val="00793D9F"/>
    <w:rsid w:val="007A3193"/>
    <w:rsid w:val="007A5B7D"/>
    <w:rsid w:val="007B2DCF"/>
    <w:rsid w:val="007B4EE0"/>
    <w:rsid w:val="007B7089"/>
    <w:rsid w:val="007C2346"/>
    <w:rsid w:val="007C2902"/>
    <w:rsid w:val="007C4F30"/>
    <w:rsid w:val="007D0A59"/>
    <w:rsid w:val="007E1DA8"/>
    <w:rsid w:val="007E2C66"/>
    <w:rsid w:val="007E5C75"/>
    <w:rsid w:val="007E6F4C"/>
    <w:rsid w:val="007F055D"/>
    <w:rsid w:val="007F087E"/>
    <w:rsid w:val="007F2C5A"/>
    <w:rsid w:val="007F5A06"/>
    <w:rsid w:val="007F6C26"/>
    <w:rsid w:val="0080105C"/>
    <w:rsid w:val="00801227"/>
    <w:rsid w:val="008013E2"/>
    <w:rsid w:val="008035F7"/>
    <w:rsid w:val="008050F5"/>
    <w:rsid w:val="008063EF"/>
    <w:rsid w:val="00811C17"/>
    <w:rsid w:val="008129D1"/>
    <w:rsid w:val="008163B1"/>
    <w:rsid w:val="008219B1"/>
    <w:rsid w:val="0083053C"/>
    <w:rsid w:val="0083111A"/>
    <w:rsid w:val="008334AE"/>
    <w:rsid w:val="00836CB4"/>
    <w:rsid w:val="00836FED"/>
    <w:rsid w:val="0084233A"/>
    <w:rsid w:val="00845CD2"/>
    <w:rsid w:val="008471A1"/>
    <w:rsid w:val="008502D8"/>
    <w:rsid w:val="00851709"/>
    <w:rsid w:val="00852A6D"/>
    <w:rsid w:val="00852B0D"/>
    <w:rsid w:val="00852C1D"/>
    <w:rsid w:val="00871D75"/>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309"/>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14D7E"/>
    <w:rsid w:val="00A22398"/>
    <w:rsid w:val="00A4039F"/>
    <w:rsid w:val="00A44217"/>
    <w:rsid w:val="00A4589C"/>
    <w:rsid w:val="00A47939"/>
    <w:rsid w:val="00A53E17"/>
    <w:rsid w:val="00A543DD"/>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3510"/>
    <w:rsid w:val="00B64E86"/>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73177"/>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1B89"/>
    <w:rsid w:val="00D231A7"/>
    <w:rsid w:val="00D260D2"/>
    <w:rsid w:val="00D362E4"/>
    <w:rsid w:val="00D4269E"/>
    <w:rsid w:val="00D45811"/>
    <w:rsid w:val="00D46C97"/>
    <w:rsid w:val="00D47E19"/>
    <w:rsid w:val="00D523E9"/>
    <w:rsid w:val="00D528F5"/>
    <w:rsid w:val="00D559AC"/>
    <w:rsid w:val="00D57A83"/>
    <w:rsid w:val="00D63054"/>
    <w:rsid w:val="00D71ECE"/>
    <w:rsid w:val="00D75B58"/>
    <w:rsid w:val="00D86B93"/>
    <w:rsid w:val="00D876DF"/>
    <w:rsid w:val="00D90D45"/>
    <w:rsid w:val="00D91638"/>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65124"/>
    <w:rsid w:val="00E65F05"/>
    <w:rsid w:val="00E72CEF"/>
    <w:rsid w:val="00E76778"/>
    <w:rsid w:val="00E768A4"/>
    <w:rsid w:val="00E832CC"/>
    <w:rsid w:val="00E85BC1"/>
    <w:rsid w:val="00E91137"/>
    <w:rsid w:val="00E965B6"/>
    <w:rsid w:val="00E972B4"/>
    <w:rsid w:val="00E974D3"/>
    <w:rsid w:val="00EA103A"/>
    <w:rsid w:val="00EA3B67"/>
    <w:rsid w:val="00EA64ED"/>
    <w:rsid w:val="00EA7613"/>
    <w:rsid w:val="00EB7427"/>
    <w:rsid w:val="00EC0907"/>
    <w:rsid w:val="00EC4378"/>
    <w:rsid w:val="00EC47F6"/>
    <w:rsid w:val="00ED7F34"/>
    <w:rsid w:val="00EE1B43"/>
    <w:rsid w:val="00EF02FF"/>
    <w:rsid w:val="00EF1B99"/>
    <w:rsid w:val="00EF441B"/>
    <w:rsid w:val="00EF6E7B"/>
    <w:rsid w:val="00F05B79"/>
    <w:rsid w:val="00F153EF"/>
    <w:rsid w:val="00F24390"/>
    <w:rsid w:val="00F32569"/>
    <w:rsid w:val="00F417E3"/>
    <w:rsid w:val="00F4182E"/>
    <w:rsid w:val="00F45E54"/>
    <w:rsid w:val="00F51920"/>
    <w:rsid w:val="00F5306C"/>
    <w:rsid w:val="00F57F4F"/>
    <w:rsid w:val="00F62A67"/>
    <w:rsid w:val="00F631D6"/>
    <w:rsid w:val="00F645C4"/>
    <w:rsid w:val="00F66032"/>
    <w:rsid w:val="00F6694D"/>
    <w:rsid w:val="00F82AC6"/>
    <w:rsid w:val="00F86D57"/>
    <w:rsid w:val="00F958C2"/>
    <w:rsid w:val="00FA0C96"/>
    <w:rsid w:val="00FA44B3"/>
    <w:rsid w:val="00FA71CC"/>
    <w:rsid w:val="00FB64EF"/>
    <w:rsid w:val="00FB7C83"/>
    <w:rsid w:val="00FD52DC"/>
    <w:rsid w:val="00FD596F"/>
    <w:rsid w:val="00FD6519"/>
    <w:rsid w:val="00FE25D5"/>
    <w:rsid w:val="00FE2A35"/>
    <w:rsid w:val="00FF0EC6"/>
    <w:rsid w:val="00FF3F1E"/>
    <w:rsid w:val="00FF4B95"/>
    <w:rsid w:val="04043574"/>
    <w:rsid w:val="0C7B3516"/>
    <w:rsid w:val="193707FA"/>
    <w:rsid w:val="25CF7C5D"/>
    <w:rsid w:val="2A7D1F34"/>
    <w:rsid w:val="30845D30"/>
    <w:rsid w:val="30A703A6"/>
    <w:rsid w:val="44E90C5B"/>
    <w:rsid w:val="4A71102B"/>
    <w:rsid w:val="4B881CD6"/>
    <w:rsid w:val="510A24C9"/>
    <w:rsid w:val="58A86449"/>
    <w:rsid w:val="6C9F2186"/>
    <w:rsid w:val="733767B1"/>
    <w:rsid w:val="73987C68"/>
    <w:rsid w:val="74E92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footnote text"/>
    <w:basedOn w:val="1"/>
    <w:link w:val="18"/>
    <w:semiHidden/>
    <w:uiPriority w:val="0"/>
    <w:pPr>
      <w:snapToGrid w:val="0"/>
      <w:jc w:val="left"/>
    </w:pPr>
    <w:rPr>
      <w:rFonts w:ascii="Times New Roman" w:hAnsi="Times New Roman" w:eastAsia="宋体" w:cs="Times New Roman"/>
      <w:sz w:val="18"/>
      <w:szCs w:val="18"/>
    </w:rPr>
  </w:style>
  <w:style w:type="paragraph" w:styleId="7">
    <w:name w:val="toc 2"/>
    <w:basedOn w:val="1"/>
    <w:next w:val="1"/>
    <w:uiPriority w:val="0"/>
    <w:pPr>
      <w:ind w:left="420" w:leftChars="200"/>
    </w:pPr>
    <w:rPr>
      <w:rFonts w:ascii="Times New Roman" w:hAnsi="Times New Roman" w:eastAsia="宋体" w:cs="Times New Roman"/>
      <w:szCs w:val="24"/>
    </w:rPr>
  </w:style>
  <w:style w:type="character" w:styleId="10">
    <w:name w:val="page number"/>
    <w:basedOn w:val="9"/>
    <w:uiPriority w:val="0"/>
  </w:style>
  <w:style w:type="character" w:styleId="11">
    <w:name w:val="Hyperlink"/>
    <w:uiPriority w:val="0"/>
    <w:rPr>
      <w:color w:val="0000FF"/>
      <w:u w:val="single"/>
    </w:rPr>
  </w:style>
  <w:style w:type="character" w:styleId="12">
    <w:name w:val="footnote reference"/>
    <w:semiHidden/>
    <w:uiPriority w:val="0"/>
    <w:rPr>
      <w:vertAlign w:val="superscript"/>
    </w:rPr>
  </w:style>
  <w:style w:type="character" w:customStyle="1" w:styleId="13">
    <w:name w:val="页眉 字符"/>
    <w:basedOn w:val="9"/>
    <w:link w:val="4"/>
    <w:qFormat/>
    <w:uiPriority w:val="0"/>
    <w:rPr>
      <w:rFonts w:ascii="Times New Roman" w:hAnsi="Times New Roman" w:eastAsia="宋体" w:cs="Times New Roman"/>
      <w:sz w:val="18"/>
      <w:szCs w:val="18"/>
    </w:rPr>
  </w:style>
  <w:style w:type="character" w:customStyle="1" w:styleId="14">
    <w:name w:val="页脚 字符"/>
    <w:basedOn w:val="9"/>
    <w:link w:val="3"/>
    <w:uiPriority w:val="99"/>
    <w:rPr>
      <w:rFonts w:ascii="Times New Roman" w:hAnsi="Times New Roman" w:eastAsia="宋体" w:cs="Times New Roman"/>
      <w:sz w:val="18"/>
      <w:szCs w:val="18"/>
    </w:rPr>
  </w:style>
  <w:style w:type="character" w:customStyle="1" w:styleId="15">
    <w:name w:val="批注框文本 字符"/>
    <w:basedOn w:val="9"/>
    <w:link w:val="2"/>
    <w:semiHidden/>
    <w:uiPriority w:val="99"/>
    <w:rPr>
      <w:sz w:val="18"/>
      <w:szCs w:val="18"/>
    </w:rPr>
  </w:style>
  <w:style w:type="paragraph" w:customStyle="1" w:styleId="16">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7">
    <w:name w:val="Char"/>
    <w:basedOn w:val="1"/>
    <w:uiPriority w:val="0"/>
    <w:rPr>
      <w:rFonts w:ascii="Tahoma" w:hAnsi="Tahoma" w:eastAsia="宋体" w:cs="Times New Roman"/>
      <w:sz w:val="24"/>
      <w:szCs w:val="24"/>
    </w:rPr>
  </w:style>
  <w:style w:type="character" w:customStyle="1" w:styleId="18">
    <w:name w:val="脚注文本 字符"/>
    <w:basedOn w:val="9"/>
    <w:link w:val="6"/>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6F491-9738-4D46-A6BA-37357E6DF0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2203</Words>
  <Characters>12560</Characters>
  <Lines>104</Lines>
  <Paragraphs>29</Paragraphs>
  <TotalTime>11</TotalTime>
  <ScaleCrop>false</ScaleCrop>
  <LinksUpToDate>false</LinksUpToDate>
  <CharactersWithSpaces>14734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2019-02-21T06:10:00Z</dcterms:created>
  <dc:creator>guest</dc:creator>
  <cp:lastModifiedBy>Administrator</cp:lastModifiedBy>
  <cp:lastPrinted>2018-02-28T01:51:00Z</cp:lastPrinted>
  <dcterms:modified xsi:type="dcterms:W3CDTF">2020-06-28T08:25:07Z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